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proofErr w:type="gram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.Ф</w:t>
      </w:r>
      <w:proofErr w:type="gramEnd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илино</w:t>
      </w:r>
      <w:proofErr w:type="spellEnd"/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A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A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«Совершенствование муниципального управления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F864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от 02.09.2013 г. № 125, администрация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1597F" w:rsidRPr="00797706" w:rsidRDefault="0041597F" w:rsidP="0041597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27.11.2020 № 93 и изложить ее в новой редакции (приложение).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сайте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опубликованию в Вестнике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97706" w:rsidRPr="00797706" w:rsidRDefault="003D19EF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 момента его подписания.</w:t>
      </w:r>
    </w:p>
    <w:p w:rsidR="00797706" w:rsidRPr="00797706" w:rsidRDefault="003D19EF" w:rsidP="007977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</w:t>
      </w:r>
      <w:bookmarkEnd w:id="0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отдела экономики и финансов Соловьеву Е.В.</w:t>
      </w: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A662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10391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8A662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646C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A662D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646C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6060"/>
      </w:tblGrid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FC3250" w:rsidRDefault="00FC3250" w:rsidP="00FC3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деятельности органов местного самоуправления.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2. Пенсионное обеспечение муниципальных служащих.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4. Иные мероприятия в области муниципального 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FC3250" w:rsidTr="009F288B">
        <w:trPr>
          <w:trHeight w:val="3783"/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повышение их эффективности и результативности;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материально-техническое, транспортное, информационно-техническое и правовое 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FC3250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6040,18418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,87066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C17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BF2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7811,03642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88B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7518,00636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46C0" w:rsidRPr="00FC3250" w:rsidRDefault="00F646C0" w:rsidP="00F646C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6293,54123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Программы «Совершенствование муниципального 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836122">
        <w:rPr>
          <w:rFonts w:ascii="Times New Roman" w:eastAsia="Calibri" w:hAnsi="Times New Roman" w:cs="Times New Roman"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(далее 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1" w:name="sub_1300"/>
      <w:bookmarkEnd w:id="1"/>
      <w:proofErr w:type="gramEnd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2. Муниципальное пенсионное обеспечение 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3. Обеспечение финансирования непредвиденных расходов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0C4D93" w:rsidRPr="000C4D93" w:rsidRDefault="000C4D93" w:rsidP="000C4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4D93">
        <w:rPr>
          <w:rFonts w:ascii="Times New Roman" w:eastAsia="Calibri" w:hAnsi="Times New Roman" w:cs="Times New Roman"/>
          <w:sz w:val="28"/>
          <w:szCs w:val="28"/>
        </w:rPr>
        <w:t>Муниципальные выборы.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1"/>
        <w:gridCol w:w="998"/>
        <w:gridCol w:w="1134"/>
        <w:gridCol w:w="992"/>
        <w:gridCol w:w="1134"/>
        <w:gridCol w:w="992"/>
      </w:tblGrid>
      <w:tr w:rsidR="00836122" w:rsidRPr="00FC3250" w:rsidTr="00836122">
        <w:trPr>
          <w:trHeight w:val="307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22" w:rsidRPr="00EA2F54" w:rsidRDefault="00836122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6122" w:rsidRPr="00FC3250" w:rsidTr="00836122">
        <w:trPr>
          <w:trHeight w:val="2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36122" w:rsidRPr="00FC3250" w:rsidTr="00836122">
        <w:trPr>
          <w:trHeight w:val="179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122" w:rsidRPr="00FC3250" w:rsidTr="00836122">
        <w:trPr>
          <w:trHeight w:val="1387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обращений граждан в администрацию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rHeight w:val="5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услуг, информацию по порядку предоставления которых можно получить в информационно-телекоммуникационной сети «Интернет»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заявок к общему количеству заявок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из резервного фонда ОМСУ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6122" w:rsidRPr="00FC3250" w:rsidTr="000B2CBC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2CBC" w:rsidRPr="00FC3250" w:rsidTr="000B2CBC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0B2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депутатов </w:t>
            </w:r>
            <w:proofErr w:type="spellStart"/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CBC" w:rsidRPr="00FC3250" w:rsidTr="000B2CBC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0B2CBC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о выборах, выборном законодательстве на официальном сайте </w:t>
            </w:r>
            <w:proofErr w:type="spellStart"/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CBC" w:rsidRPr="00FC3250" w:rsidTr="000B2CBC">
        <w:trPr>
          <w:trHeight w:val="800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A655D0" w:rsidRDefault="000B2CBC" w:rsidP="003D0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Количество жалоб, заявлений на нарушение законодательства о выборах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0B2CBC" w:rsidRDefault="000B2CBC" w:rsidP="000B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CBC" w:rsidRPr="00FC3250" w:rsidTr="000B2CBC">
        <w:trPr>
          <w:trHeight w:val="529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3D0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Явка избирателей на выборы</w:t>
            </w:r>
          </w:p>
          <w:p w:rsidR="000B2CBC" w:rsidRDefault="000B2CBC" w:rsidP="003D0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BC" w:rsidRDefault="000B2CBC" w:rsidP="003D0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BC" w:rsidRPr="00A655D0" w:rsidRDefault="000B2CBC" w:rsidP="003D0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250" w:rsidRPr="00FC3250" w:rsidRDefault="000B2CBC" w:rsidP="000B2CBC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Программы осуществляется администрацией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Финансирование Программы осуществляется за счет средств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 соответствии с федеральным, областным законодательством о муниципальной службе и Уставом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89"/>
        <w:gridCol w:w="1274"/>
        <w:gridCol w:w="1219"/>
        <w:gridCol w:w="1274"/>
        <w:gridCol w:w="1274"/>
        <w:gridCol w:w="1270"/>
      </w:tblGrid>
      <w:tr w:rsidR="00836122" w:rsidRPr="00FC3250" w:rsidTr="00836122">
        <w:tc>
          <w:tcPr>
            <w:tcW w:w="284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75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675" w:type="pct"/>
          </w:tcPr>
          <w:p w:rsidR="00836122" w:rsidRPr="00FC3250" w:rsidRDefault="00836122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F86466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>,87066</w:t>
            </w:r>
          </w:p>
        </w:tc>
        <w:tc>
          <w:tcPr>
            <w:tcW w:w="675" w:type="pct"/>
          </w:tcPr>
          <w:p w:rsidR="00836122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7811,03612</w:t>
            </w:r>
          </w:p>
        </w:tc>
        <w:tc>
          <w:tcPr>
            <w:tcW w:w="675" w:type="pct"/>
          </w:tcPr>
          <w:p w:rsidR="00836122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836122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c>
          <w:tcPr>
            <w:tcW w:w="1656" w:type="pct"/>
            <w:gridSpan w:val="2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7067,87066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7811,03612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026BE3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c>
          <w:tcPr>
            <w:tcW w:w="1656" w:type="pct"/>
            <w:gridSpan w:val="2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7067,87066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7811,03612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026BE3" w:rsidRDefault="00026BE3" w:rsidP="003D006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rPr>
          <w:trHeight w:val="696"/>
        </w:trPr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rPr>
          <w:trHeight w:val="201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026BE3" w:rsidRPr="00FC3250" w:rsidRDefault="00026BE3" w:rsidP="000C4D93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rPr>
          <w:trHeight w:val="234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46" w:type="pct"/>
          </w:tcPr>
          <w:p w:rsidR="00026BE3" w:rsidRPr="00FC3250" w:rsidRDefault="00026BE3" w:rsidP="000C4D93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6938,351</w:t>
            </w:r>
          </w:p>
        </w:tc>
        <w:tc>
          <w:tcPr>
            <w:tcW w:w="675" w:type="pct"/>
          </w:tcPr>
          <w:p w:rsidR="00026BE3" w:rsidRPr="00FC3250" w:rsidRDefault="00026BE3" w:rsidP="003D006B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Семейкинском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«Информационно-программное обеспечение и организация бюджетного процесса»</w:t>
            </w:r>
          </w:p>
        </w:tc>
        <w:tc>
          <w:tcPr>
            <w:tcW w:w="675" w:type="pct"/>
          </w:tcPr>
          <w:p w:rsidR="00026BE3" w:rsidRDefault="00026BE3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  <w:p w:rsidR="00026BE3" w:rsidRPr="00FC3250" w:rsidRDefault="00026BE3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</w:t>
            </w:r>
            <w:r w:rsidR="00026BE3" w:rsidRPr="00FC32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75" w:type="pct"/>
          </w:tcPr>
          <w:p w:rsidR="00026BE3" w:rsidRPr="00FC3250" w:rsidRDefault="00026BE3" w:rsidP="00B821A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821A4">
              <w:rPr>
                <w:rFonts w:ascii="Times New Roman" w:eastAsia="Calibri" w:hAnsi="Times New Roman" w:cs="Times New Roman"/>
              </w:rPr>
              <w:t>95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rPr>
          <w:trHeight w:val="311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</w:t>
            </w:r>
            <w:r w:rsidRPr="00FC32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026BE3" w:rsidRPr="00FC325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26BE3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372" w:type="pct"/>
          </w:tcPr>
          <w:p w:rsidR="00026BE3" w:rsidRPr="00026BE3" w:rsidRDefault="00026BE3" w:rsidP="003D006B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«Муниципальные выборы»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026BE3" w:rsidRDefault="00026BE3" w:rsidP="003D006B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Default="00026BE3" w:rsidP="003D006B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026BE3" w:rsidRDefault="00026BE3" w:rsidP="003D006B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Default="00026BE3" w:rsidP="003D006B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E107C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E107C1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F86466">
        <w:rPr>
          <w:rFonts w:ascii="Times New Roman" w:eastAsia="Calibri" w:hAnsi="Times New Roman" w:cs="Times New Roman"/>
          <w:sz w:val="24"/>
          <w:szCs w:val="24"/>
        </w:rPr>
        <w:t>7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</w:t>
      </w:r>
      <w:proofErr w:type="spellStart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«Обеспечение деятельности органов местного самоуправления </w:t>
      </w:r>
      <w:proofErr w:type="spellStart"/>
      <w:r w:rsidRPr="00E107C1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86466">
              <w:rPr>
                <w:rFonts w:ascii="Times New Roman" w:eastAsia="Calibri" w:hAnsi="Times New Roman" w:cs="Times New Roman"/>
                <w:sz w:val="28"/>
                <w:szCs w:val="28"/>
              </w:rPr>
              <w:t>403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,961</w:t>
            </w:r>
            <w:r w:rsidR="00C209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6938,351</w:t>
            </w:r>
            <w:r w:rsidR="00CD62B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6929,351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04BC" w:rsidRPr="00FC3250" w:rsidRDefault="003F04BC" w:rsidP="003F04BC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5854,88587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предусматривает обеспечение деятельности администрации и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992"/>
        <w:gridCol w:w="990"/>
        <w:gridCol w:w="994"/>
        <w:gridCol w:w="992"/>
        <w:gridCol w:w="1134"/>
      </w:tblGrid>
      <w:tr w:rsidR="003F04BC" w:rsidRPr="00FC3250" w:rsidTr="003F04BC">
        <w:trPr>
          <w:trHeight w:val="517"/>
          <w:tblCellSpacing w:w="5" w:type="nil"/>
        </w:trPr>
        <w:tc>
          <w:tcPr>
            <w:tcW w:w="2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C" w:rsidRPr="00570FBB" w:rsidRDefault="003F04BC" w:rsidP="003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04BC" w:rsidRPr="00FC3250" w:rsidTr="003F04BC">
        <w:trPr>
          <w:trHeight w:val="307"/>
          <w:tblCellSpacing w:w="5" w:type="nil"/>
        </w:trPr>
        <w:tc>
          <w:tcPr>
            <w:tcW w:w="2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3F04BC" w:rsidRPr="00FC3250" w:rsidTr="003F04BC">
        <w:trPr>
          <w:trHeight w:val="557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3F04BC" w:rsidRPr="00FC3250" w:rsidTr="003F04BC">
        <w:trPr>
          <w:trHeight w:val="886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273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587"/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3F04BC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FC3250"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23"/>
        <w:gridCol w:w="1413"/>
        <w:gridCol w:w="1272"/>
        <w:gridCol w:w="1008"/>
        <w:gridCol w:w="1137"/>
        <w:gridCol w:w="1137"/>
        <w:gridCol w:w="1272"/>
      </w:tblGrid>
      <w:tr w:rsidR="00FE0319" w:rsidRPr="00FC3250" w:rsidTr="00FE0319">
        <w:tc>
          <w:tcPr>
            <w:tcW w:w="266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22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E0319" w:rsidRPr="00FC3250" w:rsidTr="00FE0319">
        <w:tc>
          <w:tcPr>
            <w:tcW w:w="2022" w:type="pct"/>
            <w:gridSpan w:val="3"/>
          </w:tcPr>
          <w:p w:rsidR="00FE0319" w:rsidRPr="00FC3250" w:rsidRDefault="00FE0319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.р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FE0319" w:rsidRPr="00FC3250" w:rsidRDefault="00FE0319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="00FE0319"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15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33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1134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FE0319" w:rsidRPr="00FC3250" w:rsidRDefault="00FE0319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FE0319" w:rsidRPr="00FC3250" w:rsidRDefault="008A662D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5187,363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FE0319" w:rsidRPr="00FC3250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FE0319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4665D8" w:rsidRPr="00FC3250" w:rsidTr="00FE0319">
        <w:tc>
          <w:tcPr>
            <w:tcW w:w="266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4665D8" w:rsidRPr="00FC3250" w:rsidRDefault="004665D8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4665D8" w:rsidRPr="00FC3250" w:rsidRDefault="004665D8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4665D8" w:rsidRPr="00FC3250" w:rsidRDefault="004665D8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5187,363</w:t>
            </w:r>
          </w:p>
        </w:tc>
        <w:tc>
          <w:tcPr>
            <w:tcW w:w="581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5623,504</w:t>
            </w:r>
          </w:p>
        </w:tc>
        <w:tc>
          <w:tcPr>
            <w:tcW w:w="581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4665D8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FE0319" w:rsidRPr="00FC3250" w:rsidTr="00FE0319">
        <w:trPr>
          <w:trHeight w:val="789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1216,598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  <w:tr w:rsidR="004665D8" w:rsidRPr="00FC3250" w:rsidTr="00FE0319">
        <w:tc>
          <w:tcPr>
            <w:tcW w:w="266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4665D8" w:rsidRPr="00FC3250" w:rsidRDefault="004665D8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665D8" w:rsidRPr="00FC3250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1216,598</w:t>
            </w:r>
          </w:p>
        </w:tc>
        <w:tc>
          <w:tcPr>
            <w:tcW w:w="581" w:type="pct"/>
          </w:tcPr>
          <w:p w:rsidR="004665D8" w:rsidRPr="00FC3250" w:rsidRDefault="004665D8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B2283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доходов муниципальных служащих и лиц, замещающих муниципальные должности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218,47266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0C3F0A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F0A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B22834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834" w:rsidRPr="00FC3250" w:rsidRDefault="00B22834" w:rsidP="00B2283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241,75236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03.09.2019г. № 13 «Об утверждении Положения о муниципальном пенсионном обеспечении лиц, замещавших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подпрограммы будет обеспечено повышение уровня доходов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после выхода на пенсию и формирование пенсионных накоплений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настоящий момент дополнительное пенсионное обеспечение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8"/>
        <w:gridCol w:w="994"/>
        <w:gridCol w:w="989"/>
        <w:gridCol w:w="994"/>
        <w:gridCol w:w="994"/>
        <w:gridCol w:w="994"/>
      </w:tblGrid>
      <w:tr w:rsidR="00CA7B57" w:rsidRPr="00FC3250" w:rsidTr="00CA7B57">
        <w:trPr>
          <w:trHeight w:val="581"/>
          <w:tblCellSpacing w:w="5" w:type="nil"/>
        </w:trPr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57" w:rsidRPr="00D745C5" w:rsidRDefault="00CA7B57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A7B57" w:rsidRPr="00FC3250" w:rsidTr="00CA7B57">
        <w:trPr>
          <w:trHeight w:val="327"/>
          <w:tblCellSpacing w:w="5" w:type="nil"/>
        </w:trPr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</w:tr>
      <w:tr w:rsidR="00CA7B57" w:rsidRPr="00FC3250" w:rsidTr="00CA7B57">
        <w:trPr>
          <w:trHeight w:val="144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rHeight w:val="88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CA7B57" w:rsidRPr="00FC3250" w:rsidTr="00CA7B57">
        <w:trPr>
          <w:trHeight w:val="912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</w:p>
          <w:p w:rsidR="00CA7B57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0"/>
        <w:gridCol w:w="1418"/>
        <w:gridCol w:w="1136"/>
        <w:gridCol w:w="1136"/>
        <w:gridCol w:w="1130"/>
        <w:gridCol w:w="1136"/>
        <w:gridCol w:w="1272"/>
      </w:tblGrid>
      <w:tr w:rsidR="00B22834" w:rsidRPr="00FC3250" w:rsidTr="00B22834">
        <w:tc>
          <w:tcPr>
            <w:tcW w:w="289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49" w:type="pct"/>
          </w:tcPr>
          <w:p w:rsidR="00B22834" w:rsidRPr="00FC3250" w:rsidRDefault="00B22834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672" w:type="pct"/>
          </w:tcPr>
          <w:p w:rsidR="00B22834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22834" w:rsidRPr="00FC3250" w:rsidTr="00B22834"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13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49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696"/>
        </w:trPr>
        <w:tc>
          <w:tcPr>
            <w:tcW w:w="28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74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«Обеспечение финансирования непредвиденных расходов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2"/>
        <w:gridCol w:w="5173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5C5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CA7B5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2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CA7B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00"/>
        <w:gridCol w:w="854"/>
        <w:gridCol w:w="1134"/>
        <w:gridCol w:w="736"/>
        <w:gridCol w:w="821"/>
        <w:gridCol w:w="850"/>
        <w:gridCol w:w="848"/>
      </w:tblGrid>
      <w:tr w:rsidR="00CA7B57" w:rsidRPr="00FC3250" w:rsidTr="00CA7B57">
        <w:trPr>
          <w:trHeight w:val="58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9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8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4" w:type="pct"/>
          </w:tcPr>
          <w:p w:rsidR="00CA7B57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CA7B57" w:rsidRPr="00FC3250" w:rsidTr="00CA7B57">
        <w:trPr>
          <w:trHeight w:val="142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резервного фонда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9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5"/>
        <w:gridCol w:w="1847"/>
        <w:gridCol w:w="848"/>
        <w:gridCol w:w="990"/>
        <w:gridCol w:w="852"/>
        <w:gridCol w:w="994"/>
        <w:gridCol w:w="988"/>
      </w:tblGrid>
      <w:tr w:rsidR="00CA7B57" w:rsidRPr="00FC3250" w:rsidTr="00CA7B57">
        <w:tc>
          <w:tcPr>
            <w:tcW w:w="301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976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8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7B57" w:rsidRPr="00FC3250" w:rsidTr="00CA7B57"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.р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CA7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339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205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1134"/>
        </w:trPr>
        <w:tc>
          <w:tcPr>
            <w:tcW w:w="301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6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B57" w:rsidRPr="00FC3250" w:rsidTr="00CA7B57">
        <w:trPr>
          <w:trHeight w:val="460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423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21,990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="00195923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903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7B57" w:rsidRPr="00FC3250" w:rsidRDefault="00CA7B57" w:rsidP="00F44F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21,</w:t>
            </w:r>
            <w:r w:rsid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0BC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соблюдение принципа гласности в нормотворческой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1079"/>
        <w:gridCol w:w="1047"/>
        <w:gridCol w:w="1134"/>
        <w:gridCol w:w="1134"/>
        <w:gridCol w:w="1277"/>
      </w:tblGrid>
      <w:tr w:rsidR="00D9359C" w:rsidRPr="00FC3250" w:rsidTr="00D9359C">
        <w:trPr>
          <w:trHeight w:val="327"/>
          <w:tblCellSpacing w:w="5" w:type="nil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9C" w:rsidRPr="00D745C5" w:rsidRDefault="00D9359C" w:rsidP="0019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9359C" w:rsidRPr="00FC3250" w:rsidTr="00D9359C">
        <w:trPr>
          <w:trHeight w:val="404"/>
          <w:tblCellSpacing w:w="5" w:type="nil"/>
        </w:trPr>
        <w:tc>
          <w:tcPr>
            <w:tcW w:w="1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rPr>
          <w:trHeight w:val="886"/>
          <w:tblCellSpacing w:w="5" w:type="nil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D9359C" w:rsidRDefault="00D9359C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D9359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884"/>
        <w:gridCol w:w="1704"/>
        <w:gridCol w:w="994"/>
        <w:gridCol w:w="848"/>
        <w:gridCol w:w="708"/>
        <w:gridCol w:w="850"/>
        <w:gridCol w:w="992"/>
      </w:tblGrid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5" w:type="pct"/>
          </w:tcPr>
          <w:p w:rsidR="00D9359C" w:rsidRPr="00FC3250" w:rsidRDefault="00D9359C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9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«Иные мероприятия в области муниципального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,в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сего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116DBE" w:rsidRDefault="00D9359C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49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D9359C">
        <w:trPr>
          <w:trHeight w:val="1134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подписка 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1186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7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49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D9359C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900" w:type="pc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  <w:bottom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D9359C" w:rsidRPr="00FC3250" w:rsidTr="00D9359C">
        <w:trPr>
          <w:trHeight w:val="370"/>
        </w:trPr>
        <w:tc>
          <w:tcPr>
            <w:tcW w:w="256" w:type="pct"/>
            <w:tcBorders>
              <w:top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0C4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9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24" w:type="pct"/>
          </w:tcPr>
          <w:p w:rsidR="00D9359C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9359C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5298"/>
      </w:tblGrid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D9359C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выполнения расходных обязательств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361,372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73,534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359C" w:rsidRPr="00FC3250" w:rsidRDefault="00D9359C" w:rsidP="00D9359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145,000</w:t>
            </w:r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заключается в установке единой централизованной информационной системы муниципальных образований, интегрирующей в себе информационное хранилище, а также эффективные инструменты работы с ним на базе передовых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proofErr w:type="spellStart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автоматизированное ведение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налогообложением (не зарегистрированные в установленном порядке, не введенные в эксплуатацию при наличии признаков проживания и др.). 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</w:t>
      </w:r>
      <w:proofErr w:type="spell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Официальный сайт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</w:t>
      </w:r>
      <w:proofErr w:type="gram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E415CF" w:rsidRPr="00FC3250" w:rsidRDefault="00E415CF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97"/>
        <w:gridCol w:w="827"/>
        <w:gridCol w:w="879"/>
        <w:gridCol w:w="851"/>
        <w:gridCol w:w="885"/>
        <w:gridCol w:w="825"/>
      </w:tblGrid>
      <w:tr w:rsidR="00E92A29" w:rsidRPr="00FC3250" w:rsidTr="00E92A29">
        <w:trPr>
          <w:trHeight w:val="3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29" w:rsidRPr="00E415CF" w:rsidRDefault="00E92A29" w:rsidP="00E4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92A29" w:rsidRPr="00FC3250" w:rsidTr="00E92A29">
        <w:trPr>
          <w:trHeight w:val="420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1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деятельности органов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официальном сайте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17"/>
        <w:gridCol w:w="1671"/>
        <w:gridCol w:w="837"/>
        <w:gridCol w:w="950"/>
        <w:gridCol w:w="857"/>
        <w:gridCol w:w="1115"/>
        <w:gridCol w:w="1005"/>
      </w:tblGrid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pct"/>
          </w:tcPr>
          <w:p w:rsidR="00E92A29" w:rsidRPr="00FC3250" w:rsidRDefault="00E92A29" w:rsidP="00E92A29">
            <w:pPr>
              <w:spacing w:after="0" w:line="240" w:lineRule="auto"/>
              <w:ind w:left="-94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83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E92A29" w:rsidRPr="00FC3250" w:rsidTr="00E92A29"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«Информационно – программное обеспечение и организация бюджетного процесса», 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387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168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c>
          <w:tcPr>
            <w:tcW w:w="270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и исполнения бюджета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Админисрация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иптографической защиты информации (средства шифрования и электронные подписи)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5D20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rPr>
          <w:trHeight w:val="168"/>
        </w:trPr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  <w:p w:rsidR="003D0059" w:rsidRPr="00FC3250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25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882"/>
        </w:trPr>
        <w:tc>
          <w:tcPr>
            <w:tcW w:w="270" w:type="pct"/>
          </w:tcPr>
          <w:p w:rsidR="00E92A29" w:rsidRPr="00FC3250" w:rsidRDefault="00E92A29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о–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баз данных 1-С, подписка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информации о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F44F44" w:rsidRDefault="00F44F44"/>
    <w:p w:rsidR="00E12961" w:rsidRDefault="00E12961" w:rsidP="00F44F44">
      <w:pPr>
        <w:jc w:val="center"/>
      </w:pPr>
    </w:p>
    <w:p w:rsidR="00F44F44" w:rsidRDefault="00F44F44" w:rsidP="00F44F44">
      <w:pPr>
        <w:jc w:val="center"/>
      </w:pPr>
    </w:p>
    <w:p w:rsidR="00F44F44" w:rsidRPr="00F44F44" w:rsidRDefault="00F44F44" w:rsidP="00F44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44F44" w:rsidRPr="00F44F44" w:rsidRDefault="00F44F44" w:rsidP="00F44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"Муниципальные выборы"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выборы</w:t>
      </w:r>
      <w:r w:rsidRPr="00F44F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44F44" w:rsidRPr="00F44F44" w:rsidTr="003D006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выборы</w:t>
            </w:r>
          </w:p>
        </w:tc>
      </w:tr>
      <w:tr w:rsidR="00F44F44" w:rsidRPr="00F44F44" w:rsidTr="003D006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F44" w:rsidRPr="00F44F44" w:rsidTr="003D006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области, ПИК, УИК</w:t>
            </w:r>
          </w:p>
        </w:tc>
      </w:tr>
      <w:tr w:rsidR="00F44F44" w:rsidRPr="00F44F44" w:rsidTr="003D006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выборов в органы местного самоуправления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при строгом соответствии всей выборной кампании действующему законодательству</w:t>
            </w:r>
          </w:p>
        </w:tc>
      </w:tr>
      <w:tr w:rsidR="00F44F44" w:rsidRPr="00F44F44" w:rsidTr="003D006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– </w:t>
            </w:r>
            <w:r w:rsidR="001A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184,03006</w:t>
            </w: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4" w:rsidRPr="00F44F44" w:rsidRDefault="00F44F44" w:rsidP="00F44F44">
      <w:pPr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proofErr w:type="spellStart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являются важным общественно - политическим событием </w:t>
      </w:r>
      <w:proofErr w:type="spellStart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роли демократических институтов обусловило развитие действующей в Российском обществе избирательной системы, нацеленной на обеспечение основных политических прав граждан избирать и быть избранными в органы местного самоуправления. Концепция местного самоуправления предполагает решение вопросов местного значения не только муниципальными органами власти, но и населением. Это твердое представление нашло подтверждение в законодательстве, нормы которого гарантировали гражданам возможность непосредственного участия в осуществлении местного самоуправления.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самоуправление осуществляется населением. В этих целях население использует институты непосредственной демократии, в том числе, местные референдумы, выборы в представительные органы.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возрастает актуальность разработки и реализации мер по организации и проведению местных выборов, проведения политической и правовой образовательной работы с населением.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«Муниципальные выборы» представляет собой согласованный по целям, задачам, ресурсам и срокам исполнения комплекс мероприятий, обеспечивающих эффективное решение вопросов предстоящего избирательного цикла.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проведение мероприятий при участии поселковой избирательной комиссии и участковых избирательных комиссий.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является организация и проведения выборов в органы местного самоуправления </w:t>
      </w:r>
      <w:proofErr w:type="spellStart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строгом соответствии всей выборной кампании действующему законодательству.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подпрограммы являются: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эффективного механизма реализации избирательного права граждан;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гласности и прозрачности всему избирательному процессу;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 - техническое оснащение участковых избирательных комиссий;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подготовки и проведения выборов.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4" w:rsidRPr="00F44F44" w:rsidRDefault="00F44F44" w:rsidP="00F44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>В результате выполнения подпрограммы будет обеспечено: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- признание выборов в органы местного самоуправления </w:t>
      </w:r>
      <w:proofErr w:type="spellStart"/>
      <w:r w:rsidRPr="00F44F44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F44F44">
        <w:rPr>
          <w:rFonts w:ascii="Times New Roman" w:eastAsia="Calibri" w:hAnsi="Times New Roman" w:cs="Times New Roman"/>
          <w:sz w:val="28"/>
          <w:szCs w:val="28"/>
        </w:rPr>
        <w:t>состоявшимися</w:t>
      </w:r>
      <w:proofErr w:type="gramEnd"/>
      <w:r w:rsidRPr="00F44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- избрание депутатов </w:t>
      </w:r>
      <w:proofErr w:type="spellStart"/>
      <w:r w:rsidRPr="00F44F44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количестве 12 человек;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- качественное проведение выборов при отсутствии замечаний по нарушению избирательных прав жителей </w:t>
      </w:r>
      <w:proofErr w:type="spellStart"/>
      <w:r w:rsidRPr="00F44F44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ходе подготовки и проведения выборов;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политической активности населения.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6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4"/>
        <w:gridCol w:w="2827"/>
      </w:tblGrid>
      <w:tr w:rsidR="006B4EB4" w:rsidRPr="00F44F44" w:rsidTr="006B4EB4">
        <w:trPr>
          <w:trHeight w:val="162"/>
          <w:tblCellSpacing w:w="5" w:type="nil"/>
        </w:trPr>
        <w:tc>
          <w:tcPr>
            <w:tcW w:w="3501" w:type="pct"/>
            <w:vMerge w:val="restart"/>
          </w:tcPr>
          <w:p w:rsidR="006B4EB4" w:rsidRPr="00F44F44" w:rsidRDefault="006B4EB4" w:rsidP="00F44F44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B4EB4" w:rsidRPr="00F44F44" w:rsidTr="006B4EB4">
        <w:trPr>
          <w:trHeight w:val="573"/>
          <w:tblCellSpacing w:w="5" w:type="nil"/>
        </w:trPr>
        <w:tc>
          <w:tcPr>
            <w:tcW w:w="3501" w:type="pct"/>
            <w:vMerge/>
          </w:tcPr>
          <w:p w:rsidR="006B4EB4" w:rsidRPr="00F44F44" w:rsidRDefault="006B4EB4" w:rsidP="00F44F44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</w:tcPr>
          <w:p w:rsidR="006B4EB4" w:rsidRPr="00F44F44" w:rsidRDefault="006B4EB4" w:rsidP="006B4E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4EB4" w:rsidRPr="00F44F44" w:rsidTr="006B4EB4">
        <w:trPr>
          <w:trHeight w:val="517"/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депутатов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6B4EB4" w:rsidRPr="00F44F44" w:rsidTr="006B4EB4">
        <w:trPr>
          <w:trHeight w:val="1511"/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материалов о выборах, выборном законодательстве в «Вестнике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и на официальном сайте администрации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6B4EB4" w:rsidRPr="00F44F44" w:rsidTr="006B4EB4">
        <w:trPr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жалоб, заявлений на нарушение законодательства о выборах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EB4" w:rsidRPr="00F44F44" w:rsidTr="006B4EB4">
        <w:trPr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Явка избирателей на выборы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</w:tr>
    </w:tbl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>4. Мероприятия подпрограммы</w:t>
      </w: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подготовкой и проведением муниципальных выборов, осуществляются за счет бюджета </w:t>
      </w:r>
      <w:proofErr w:type="spellStart"/>
      <w:r w:rsidRPr="00F44F44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состоит из следующих основных частей: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избирателей через печатные средства массовой информации.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этого направления являются подготовка информационных и разъяснительных материалов, организация системы распространения подготовленных материалов по избирательной тематике в местных средствах массовой информации.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осуществляется: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размещение в печатных средствах массовой информации материалов по избирательной тематике;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специальных рубрик, посвященных ходу муниципальных избирательных кампаний, в печатных изданиях;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изготовленных для избирательных комиссий печатных информационных материалов (плакатов).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данного направления Подпрограммы должно стать вовлечение в ее сферу более широкого круга избирателей. Информирование избирателей через печатные средства массовой информации наряду с использованием иных средств позволит улучшить показатели гражданской активности населения.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Организационно-методическое обеспечение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направления является создание широкого каталога доступных участникам Подпрограммы справочных, методических и аналитических материалов, в которых закрепляются ценностные и целевые установки Подпрограммы, опыт проведения выборов, основные сведения, необходимые для их проведения.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направления осуществляется: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методических пособий в помощь избирательным комиссиям, в том числе для организации работы с участниками выборов;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справочных материалов (памяток) для участников избирательного процесса (представителей правоохранительных органов, средств массовой информации, наблюдателей и так далее);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распространение приглашений на выборы, других информационных материалов для различных категорий участников избирательного процесса.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данного направления является оказание правовой и методической помощи организаторам выборов, другим участникам избирательного процесса.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Материально-техническое обеспечение проведения избирательных кампаний.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направления является совершенствование материально-технического потенциала избирательной системы, привлечение к реализации Подпрограммы организаторов выборов и улучшение качества их работы.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направления предусматривается работа по формированию избирательных участков, подготовке помещений к голосованию в день голосования, оборудованию этих помещений необходимым технологическим оборудованием, организации хранения этого оборудования в </w:t>
      </w:r>
      <w:proofErr w:type="spellStart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межвыборный</w:t>
      </w:r>
      <w:proofErr w:type="spellEnd"/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реализации данного направления должны стать улучшение условий проведения голосования, снижение числа нарушений в деятельности избирательных комиссий. Это будет способствовать соблюдению норм законов о выборах и реализации избирательных прав граждан.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Оплата труда членов избирательных комиссий.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направления является обеспечение оплаты труда членов избирательных комиссий в период проведения муниципальных выборов.</w:t>
      </w: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44F44" w:rsidRPr="00F44F44" w:rsidRDefault="00F44F44" w:rsidP="00F44F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839"/>
        <w:gridCol w:w="3010"/>
        <w:gridCol w:w="1986"/>
      </w:tblGrid>
      <w:tr w:rsidR="006B4EB4" w:rsidRPr="00F44F44" w:rsidTr="006B4EB4">
        <w:tc>
          <w:tcPr>
            <w:tcW w:w="333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8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49" w:type="pct"/>
          </w:tcPr>
          <w:p w:rsidR="006B4EB4" w:rsidRPr="00F44F44" w:rsidRDefault="006B4EB4" w:rsidP="00670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F44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705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4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«Муниципальные выборы</w:t>
            </w:r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</w:t>
            </w:r>
            <w:proofErr w:type="gramStart"/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.р</w:t>
            </w:r>
            <w:proofErr w:type="gramEnd"/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уб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rPr>
          <w:trHeight w:val="696"/>
        </w:trPr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 w:colFirst="1" w:colLast="1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избирателей через печатные средства массовой информации, изготовление печатной продукции</w:t>
            </w:r>
          </w:p>
        </w:tc>
        <w:tc>
          <w:tcPr>
            <w:tcW w:w="1590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 проведения избирательных кампаний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ПИК, УИК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членов избирательных комиссий, оплата питания в день голосования</w:t>
            </w:r>
          </w:p>
        </w:tc>
        <w:tc>
          <w:tcPr>
            <w:tcW w:w="1590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ПИК, УИК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bookmarkEnd w:id="3"/>
    </w:tbl>
    <w:p w:rsidR="00F44F44" w:rsidRPr="00F44F44" w:rsidRDefault="00F44F44" w:rsidP="00F44F44">
      <w:pPr>
        <w:jc w:val="center"/>
      </w:pPr>
    </w:p>
    <w:sectPr w:rsidR="00F44F44" w:rsidRPr="00F4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83" w:rsidRDefault="00552683" w:rsidP="00F44F44">
      <w:pPr>
        <w:spacing w:after="0" w:line="240" w:lineRule="auto"/>
      </w:pPr>
      <w:r>
        <w:separator/>
      </w:r>
    </w:p>
  </w:endnote>
  <w:endnote w:type="continuationSeparator" w:id="0">
    <w:p w:rsidR="00552683" w:rsidRDefault="00552683" w:rsidP="00F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83" w:rsidRDefault="00552683" w:rsidP="00F44F44">
      <w:pPr>
        <w:spacing w:after="0" w:line="240" w:lineRule="auto"/>
      </w:pPr>
      <w:r>
        <w:separator/>
      </w:r>
    </w:p>
  </w:footnote>
  <w:footnote w:type="continuationSeparator" w:id="0">
    <w:p w:rsidR="00552683" w:rsidRDefault="00552683" w:rsidP="00F4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8C7"/>
    <w:multiLevelType w:val="hybridMultilevel"/>
    <w:tmpl w:val="20549BAE"/>
    <w:lvl w:ilvl="0" w:tplc="1FBA7726">
      <w:start w:val="2024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0"/>
    <w:rsid w:val="00026BE3"/>
    <w:rsid w:val="00027CD8"/>
    <w:rsid w:val="000B2CBC"/>
    <w:rsid w:val="000B3BD4"/>
    <w:rsid w:val="000C3F0A"/>
    <w:rsid w:val="000C4D93"/>
    <w:rsid w:val="000D283F"/>
    <w:rsid w:val="00116DBE"/>
    <w:rsid w:val="001421FF"/>
    <w:rsid w:val="0016618A"/>
    <w:rsid w:val="00195923"/>
    <w:rsid w:val="001A4D45"/>
    <w:rsid w:val="0020094F"/>
    <w:rsid w:val="002556C6"/>
    <w:rsid w:val="002D4587"/>
    <w:rsid w:val="002F3B18"/>
    <w:rsid w:val="003D0059"/>
    <w:rsid w:val="003D19EF"/>
    <w:rsid w:val="003F04BC"/>
    <w:rsid w:val="003F3763"/>
    <w:rsid w:val="0041597F"/>
    <w:rsid w:val="0043558E"/>
    <w:rsid w:val="00442E22"/>
    <w:rsid w:val="00447BC7"/>
    <w:rsid w:val="004665D8"/>
    <w:rsid w:val="00475A53"/>
    <w:rsid w:val="004B50BC"/>
    <w:rsid w:val="004B6844"/>
    <w:rsid w:val="00552683"/>
    <w:rsid w:val="00570FBB"/>
    <w:rsid w:val="005D20B0"/>
    <w:rsid w:val="006656CF"/>
    <w:rsid w:val="0067056B"/>
    <w:rsid w:val="0069021E"/>
    <w:rsid w:val="006A3817"/>
    <w:rsid w:val="006B4EB4"/>
    <w:rsid w:val="006F0E4B"/>
    <w:rsid w:val="00797706"/>
    <w:rsid w:val="00797901"/>
    <w:rsid w:val="007D7DCB"/>
    <w:rsid w:val="00830095"/>
    <w:rsid w:val="00836122"/>
    <w:rsid w:val="00840D86"/>
    <w:rsid w:val="00875A8C"/>
    <w:rsid w:val="008A662D"/>
    <w:rsid w:val="009F288B"/>
    <w:rsid w:val="00B01ECE"/>
    <w:rsid w:val="00B10391"/>
    <w:rsid w:val="00B22834"/>
    <w:rsid w:val="00B426DA"/>
    <w:rsid w:val="00B74082"/>
    <w:rsid w:val="00B821A4"/>
    <w:rsid w:val="00C17BF2"/>
    <w:rsid w:val="00C209DA"/>
    <w:rsid w:val="00CA0568"/>
    <w:rsid w:val="00CA7B57"/>
    <w:rsid w:val="00CD62B9"/>
    <w:rsid w:val="00D169C7"/>
    <w:rsid w:val="00D745C5"/>
    <w:rsid w:val="00D9359C"/>
    <w:rsid w:val="00DB13CC"/>
    <w:rsid w:val="00E107C1"/>
    <w:rsid w:val="00E12961"/>
    <w:rsid w:val="00E415CF"/>
    <w:rsid w:val="00E768A4"/>
    <w:rsid w:val="00E92A29"/>
    <w:rsid w:val="00EA2E88"/>
    <w:rsid w:val="00EA2F54"/>
    <w:rsid w:val="00EE620E"/>
    <w:rsid w:val="00F012B1"/>
    <w:rsid w:val="00F12095"/>
    <w:rsid w:val="00F44F44"/>
    <w:rsid w:val="00F646C0"/>
    <w:rsid w:val="00F86466"/>
    <w:rsid w:val="00FC3250"/>
    <w:rsid w:val="00FD3104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F1C9-09DF-415C-BD94-5F26C930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29</Pages>
  <Words>7390</Words>
  <Characters>42127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 ПАСПОРТ</vt:lpstr>
      <vt:lpstr>    1. ПАСПОРТ</vt:lpstr>
      <vt:lpstr>    1. ПАСПОРТ</vt:lpstr>
      <vt:lpstr>Краткая характеристика сферы реализации подпрограммы</vt:lpstr>
      <vt:lpstr>3. Ожидаемые результаты реализации подпрограммы</vt:lpstr>
      <vt:lpstr>    1. ПАСПОРТ</vt:lpstr>
      <vt:lpstr>    </vt:lpstr>
      <vt:lpstr>    1. ПАСПОРТ</vt:lpstr>
      <vt:lpstr>    1. ПАСПОРТ</vt:lpstr>
    </vt:vector>
  </TitlesOfParts>
  <Company>Home</Company>
  <LinksUpToDate>false</LinksUpToDate>
  <CharactersWithSpaces>49419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67</cp:revision>
  <cp:lastPrinted>2024-11-21T07:28:00Z</cp:lastPrinted>
  <dcterms:created xsi:type="dcterms:W3CDTF">2023-02-10T08:33:00Z</dcterms:created>
  <dcterms:modified xsi:type="dcterms:W3CDTF">2024-12-24T07:09:00Z</dcterms:modified>
</cp:coreProperties>
</file>