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д.Филино</w:t>
      </w:r>
      <w:proofErr w:type="spellEnd"/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5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5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15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«Совершенствование муниципального управления Семейкинского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 г. № 125, администрация Семейкинского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1597F" w:rsidRPr="00797706" w:rsidRDefault="0041597F" w:rsidP="0041597F">
      <w:pPr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программы </w:t>
      </w:r>
      <w:r w:rsidRPr="00797706">
        <w:rPr>
          <w:rFonts w:ascii="Times New Roman" w:eastAsia="Calibri" w:hAnsi="Times New Roman" w:cs="Times New Roman"/>
          <w:sz w:val="28"/>
          <w:szCs w:val="28"/>
        </w:rPr>
        <w:t>«Совершенствование муниципального управления Семейкинского сельского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7706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10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утвержденную постановлением администрации Семейкинского сельского поселения от 27.11.2020 № 93, изложить в следующей редакции: </w:t>
      </w:r>
      <w:r w:rsidRPr="00797706">
        <w:rPr>
          <w:rFonts w:ascii="Times New Roman" w:eastAsia="Calibri" w:hAnsi="Times New Roman" w:cs="Times New Roman"/>
          <w:sz w:val="28"/>
          <w:szCs w:val="28"/>
        </w:rPr>
        <w:t>«Совершенствование муниципального управления Семейкинского сельского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7706">
        <w:rPr>
          <w:rFonts w:ascii="Times New Roman" w:eastAsia="Calibri" w:hAnsi="Times New Roman" w:cs="Times New Roman"/>
          <w:sz w:val="28"/>
          <w:szCs w:val="28"/>
        </w:rPr>
        <w:t>-202</w:t>
      </w:r>
      <w:r w:rsidR="0069021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97706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41597F" w:rsidRPr="00797706" w:rsidRDefault="0041597F" w:rsidP="004159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Семейкинского сельского поселения от 27.11.2020 № 93 и изложить ее в новой редакции (приложение).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797706" w:rsidRPr="00797706" w:rsidRDefault="0041597F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 момента его подписания.</w:t>
      </w:r>
    </w:p>
    <w:p w:rsidR="00797706" w:rsidRPr="00797706" w:rsidRDefault="0041597F" w:rsidP="007977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за исполнением настоящего постановления возложить на начальника </w:t>
      </w:r>
      <w:bookmarkEnd w:id="0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отдела экономики и финансов Соловьеву Е.В.</w:t>
      </w: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113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646C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6060"/>
      </w:tblGrid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муниципального 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FC3250" w:rsidRDefault="00FC3250" w:rsidP="00FC3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деятельности органов местного самоуправления.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2. Пенсионное обеспечение муниципальных служащих.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финансирования непредвиденных расходов Семейкинского сельского поселения.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4. Иные мероприятия в области муниципального 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FC3250" w:rsidTr="009F288B">
        <w:trPr>
          <w:trHeight w:val="3783"/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муниципальной службы Семейкинского сельского поселения;</w:t>
            </w:r>
          </w:p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Семейкинского сельского поселения, повышение их эффективности и результативности;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материально-техническое, транспортное, информационно-техническое и правовое обеспечение деятельности органов местного самоуправления Семейкинского сельского поселения;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FC3250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6040,18418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7035,87066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88B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7518,00636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6C0" w:rsidRPr="00FC3250" w:rsidRDefault="00F646C0" w:rsidP="00F646C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6293,54123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Семейкинского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«Совершенствование муниципального управления Семейкинского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836122">
        <w:rPr>
          <w:rFonts w:ascii="Times New Roman" w:eastAsia="Calibri" w:hAnsi="Times New Roman" w:cs="Times New Roman"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(далее 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1" w:name="sub_1300"/>
      <w:bookmarkEnd w:id="1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2. Муниципальное пенсионное обеспечение 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3. Обеспечение финансирования непредвиденных расходов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1"/>
        <w:gridCol w:w="998"/>
        <w:gridCol w:w="1134"/>
        <w:gridCol w:w="992"/>
        <w:gridCol w:w="1134"/>
        <w:gridCol w:w="992"/>
      </w:tblGrid>
      <w:tr w:rsidR="00836122" w:rsidRPr="00FC3250" w:rsidTr="00836122">
        <w:trPr>
          <w:trHeight w:val="307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22" w:rsidRPr="00EA2F54" w:rsidRDefault="00836122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6122" w:rsidRPr="00FC3250" w:rsidTr="00836122">
        <w:trPr>
          <w:trHeight w:val="2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36122" w:rsidRPr="00FC3250" w:rsidTr="00836122">
        <w:trPr>
          <w:trHeight w:val="179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122" w:rsidRPr="00FC3250" w:rsidTr="00836122">
        <w:trPr>
          <w:trHeight w:val="1387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граждан в администрацию Семейкинского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rHeight w:val="5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услуг, информацию по порядку предоставления которых можно получить в информационно-телекоммуникационной сети «Интернет»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органов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заявок к общему количеству заявок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ОМСУ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осуществляется администрацией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Финансирование Программы осуществляется за счет средств бюджета Семейкинского сельского поселения, в соответствии с федеральным, областным законодательством о муниципальной службе и Уставом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89"/>
        <w:gridCol w:w="1274"/>
        <w:gridCol w:w="1219"/>
        <w:gridCol w:w="1274"/>
        <w:gridCol w:w="1274"/>
        <w:gridCol w:w="1270"/>
      </w:tblGrid>
      <w:tr w:rsidR="00836122" w:rsidRPr="00FC3250" w:rsidTr="00836122">
        <w:tc>
          <w:tcPr>
            <w:tcW w:w="284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75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«Совершенствование муниципального 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675" w:type="pct"/>
          </w:tcPr>
          <w:p w:rsidR="00836122" w:rsidRPr="00FC3250" w:rsidRDefault="00836122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C209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7035,87066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rPr>
          <w:trHeight w:val="696"/>
        </w:trPr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836122" w:rsidRPr="00FC3250" w:rsidRDefault="00836122" w:rsidP="00C209DA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6371,961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rPr>
          <w:trHeight w:val="201"/>
        </w:trPr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6371,961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rPr>
          <w:trHeight w:val="234"/>
        </w:trPr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6371,961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Семейкинском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поселения»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836122" w:rsidRPr="00FC3250" w:rsidRDefault="00836122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«Информационно-программное обеспечение и организация бюджетного процесса»</w:t>
            </w:r>
          </w:p>
        </w:tc>
        <w:tc>
          <w:tcPr>
            <w:tcW w:w="675" w:type="pct"/>
          </w:tcPr>
          <w:p w:rsidR="00836122" w:rsidRDefault="00836122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  <w:p w:rsidR="00836122" w:rsidRPr="00FC3250" w:rsidRDefault="00836122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rPr>
          <w:trHeight w:val="311"/>
        </w:trPr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284" w:type="pct"/>
            <w:vMerge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836122" w:rsidRPr="00FC3250" w:rsidRDefault="00836122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FF1038">
        <w:rPr>
          <w:rFonts w:ascii="Times New Roman" w:eastAsia="Calibri" w:hAnsi="Times New Roman" w:cs="Times New Roman"/>
          <w:sz w:val="24"/>
          <w:szCs w:val="24"/>
        </w:rPr>
        <w:t>7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Семейкинского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подпрограммы «Обеспечение деятельности органов местного самоуправления Семейкинского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Семейкинского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F1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системы муниципальной службы Семейкинского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6371,961</w:t>
            </w:r>
            <w:r w:rsidR="00C209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6938,351</w:t>
            </w:r>
            <w:r w:rsidR="00CD62B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6929,351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4BC" w:rsidRPr="00FC3250" w:rsidRDefault="003F04BC" w:rsidP="003F04BC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5854,88587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деятельности органов местного самоуправления Семейкинског</w:t>
      </w:r>
      <w:bookmarkStart w:id="2" w:name="_GoBack"/>
      <w:bookmarkEnd w:id="2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поселения» предусматривает обеспечение деятельности администрации и Совета Семейкинского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992"/>
        <w:gridCol w:w="990"/>
        <w:gridCol w:w="994"/>
        <w:gridCol w:w="992"/>
        <w:gridCol w:w="1134"/>
      </w:tblGrid>
      <w:tr w:rsidR="003F04BC" w:rsidRPr="00FC3250" w:rsidTr="003F04BC">
        <w:trPr>
          <w:trHeight w:val="517"/>
          <w:tblCellSpacing w:w="5" w:type="nil"/>
        </w:trPr>
        <w:tc>
          <w:tcPr>
            <w:tcW w:w="2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C" w:rsidRPr="00570FBB" w:rsidRDefault="003F04BC" w:rsidP="003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04BC" w:rsidRPr="00FC3250" w:rsidTr="003F04BC">
        <w:trPr>
          <w:trHeight w:val="307"/>
          <w:tblCellSpacing w:w="5" w:type="nil"/>
        </w:trPr>
        <w:tc>
          <w:tcPr>
            <w:tcW w:w="2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3F04BC" w:rsidRPr="00FC3250" w:rsidTr="003F04BC">
        <w:trPr>
          <w:trHeight w:val="557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органов местного самоуправления сельского </w:t>
            </w: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3F04BC" w:rsidRPr="00FC3250" w:rsidTr="003F04BC">
        <w:trPr>
          <w:trHeight w:val="886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273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587"/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3F04BC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FC3250"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23"/>
        <w:gridCol w:w="1413"/>
        <w:gridCol w:w="1272"/>
        <w:gridCol w:w="1008"/>
        <w:gridCol w:w="1137"/>
        <w:gridCol w:w="1137"/>
        <w:gridCol w:w="1272"/>
      </w:tblGrid>
      <w:tr w:rsidR="00FE0319" w:rsidRPr="00FC3250" w:rsidTr="00FE0319">
        <w:tc>
          <w:tcPr>
            <w:tcW w:w="266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22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E0319" w:rsidRPr="00FC3250" w:rsidTr="00FE0319">
        <w:tc>
          <w:tcPr>
            <w:tcW w:w="2022" w:type="pct"/>
            <w:gridSpan w:val="3"/>
          </w:tcPr>
          <w:p w:rsidR="00FE0319" w:rsidRPr="00FC3250" w:rsidRDefault="00FE0319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FE0319" w:rsidRPr="00FC3250" w:rsidRDefault="00FE0319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E0319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15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33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6371,961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1134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Семейкинского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FE0319" w:rsidRPr="00FC3250" w:rsidRDefault="00FE0319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FE0319" w:rsidRPr="00FC3250" w:rsidRDefault="00FE0319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5200,963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FE0319" w:rsidRPr="00FC3250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FE0319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1421FF" w:rsidRPr="00FC3250" w:rsidTr="00FE0319">
        <w:tc>
          <w:tcPr>
            <w:tcW w:w="266" w:type="pct"/>
            <w:vMerge/>
          </w:tcPr>
          <w:p w:rsidR="001421FF" w:rsidRPr="00FC3250" w:rsidRDefault="001421F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1421FF" w:rsidRPr="00FC3250" w:rsidRDefault="001421FF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местный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22" w:type="pct"/>
            <w:vMerge/>
          </w:tcPr>
          <w:p w:rsidR="001421FF" w:rsidRPr="00FC3250" w:rsidRDefault="001421FF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1421FF" w:rsidRPr="00FC3250" w:rsidRDefault="001421FF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1421FF" w:rsidRPr="00FC3250" w:rsidRDefault="001421FF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5200,963</w:t>
            </w:r>
          </w:p>
        </w:tc>
        <w:tc>
          <w:tcPr>
            <w:tcW w:w="581" w:type="pct"/>
          </w:tcPr>
          <w:p w:rsidR="001421FF" w:rsidRPr="00FC3250" w:rsidRDefault="001421FF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1421FF" w:rsidRPr="00FC3250" w:rsidRDefault="001421FF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1421FF" w:rsidRDefault="00CA7B5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FE0319" w:rsidRPr="00FC3250" w:rsidTr="00FE0319">
        <w:trPr>
          <w:trHeight w:val="789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Семейкинского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FE031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B2283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доходов муниципальных служащих и лиц, замещающих муниципальные должности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218,47266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0C3F0A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F0A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B22834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834" w:rsidRPr="00FC3250" w:rsidRDefault="00B22834" w:rsidP="00B2283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241,75236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Семейкинского сельского поселения, 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решением Совета Семейкинского сельского поселения от 03.09.2019г. № 13 «Об утверждении Положения о муниципальном пенсионном обеспечении лиц, замещавших должности муниципальной службы Семейкинского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подпрограммы будет обеспечено повышение уровня доходов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после выхода на пенсию и формирование пенсионных накоплений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настоящий момент дополнительное пенсионное обеспечение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Семейкинского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Семейкинского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8"/>
        <w:gridCol w:w="994"/>
        <w:gridCol w:w="989"/>
        <w:gridCol w:w="994"/>
        <w:gridCol w:w="994"/>
        <w:gridCol w:w="994"/>
      </w:tblGrid>
      <w:tr w:rsidR="00CA7B57" w:rsidRPr="00FC3250" w:rsidTr="00CA7B57">
        <w:trPr>
          <w:trHeight w:val="581"/>
          <w:tblCellSpacing w:w="5" w:type="nil"/>
        </w:trPr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57" w:rsidRPr="00D745C5" w:rsidRDefault="00CA7B57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A7B57" w:rsidRPr="00FC3250" w:rsidTr="00CA7B57">
        <w:trPr>
          <w:trHeight w:val="327"/>
          <w:tblCellSpacing w:w="5" w:type="nil"/>
        </w:trPr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</w:tr>
      <w:tr w:rsidR="00CA7B57" w:rsidRPr="00FC3250" w:rsidTr="00CA7B57">
        <w:trPr>
          <w:trHeight w:val="144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rHeight w:val="88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CA7B57" w:rsidRPr="00FC3250" w:rsidTr="00CA7B57">
        <w:trPr>
          <w:trHeight w:val="912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</w:p>
          <w:p w:rsidR="00CA7B57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0"/>
        <w:gridCol w:w="1418"/>
        <w:gridCol w:w="1136"/>
        <w:gridCol w:w="1136"/>
        <w:gridCol w:w="1130"/>
        <w:gridCol w:w="1136"/>
        <w:gridCol w:w="1272"/>
      </w:tblGrid>
      <w:tr w:rsidR="00B22834" w:rsidRPr="00FC3250" w:rsidTr="00B22834">
        <w:tc>
          <w:tcPr>
            <w:tcW w:w="289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49" w:type="pct"/>
          </w:tcPr>
          <w:p w:rsidR="00B22834" w:rsidRPr="00FC3250" w:rsidRDefault="00B22834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672" w:type="pct"/>
          </w:tcPr>
          <w:p w:rsidR="00B22834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22834" w:rsidRPr="00FC3250" w:rsidTr="00B22834"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13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49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696"/>
        </w:trPr>
        <w:tc>
          <w:tcPr>
            <w:tcW w:w="28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74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 «Обеспечение финансирования непредвиденных расходов 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2"/>
        <w:gridCol w:w="5173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финансирования непредвиденных расходов Семейкинского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5C5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CA7B5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3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осуществляется формирование и использование резервного фонда администрации Семейкинского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CA7B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00"/>
        <w:gridCol w:w="854"/>
        <w:gridCol w:w="1134"/>
        <w:gridCol w:w="736"/>
        <w:gridCol w:w="821"/>
        <w:gridCol w:w="850"/>
        <w:gridCol w:w="848"/>
      </w:tblGrid>
      <w:tr w:rsidR="00CA7B57" w:rsidRPr="00FC3250" w:rsidTr="00CA7B57">
        <w:trPr>
          <w:trHeight w:val="58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9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8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4" w:type="pct"/>
          </w:tcPr>
          <w:p w:rsidR="00CA7B57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CA7B57" w:rsidRPr="00FC3250" w:rsidTr="00CA7B57">
        <w:trPr>
          <w:trHeight w:val="142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администрации Семейкинского сельского поселения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9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Семейкинского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5"/>
        <w:gridCol w:w="1847"/>
        <w:gridCol w:w="848"/>
        <w:gridCol w:w="990"/>
        <w:gridCol w:w="852"/>
        <w:gridCol w:w="994"/>
        <w:gridCol w:w="988"/>
      </w:tblGrid>
      <w:tr w:rsidR="00CA7B57" w:rsidRPr="00FC3250" w:rsidTr="00CA7B57">
        <w:tc>
          <w:tcPr>
            <w:tcW w:w="301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976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8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7B57" w:rsidRPr="00FC3250" w:rsidTr="00CA7B57"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CA7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339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205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1134"/>
        </w:trPr>
        <w:tc>
          <w:tcPr>
            <w:tcW w:w="301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Семейкинского сельского поселения</w:t>
            </w:r>
          </w:p>
        </w:tc>
        <w:tc>
          <w:tcPr>
            <w:tcW w:w="976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B57" w:rsidRPr="00FC3250" w:rsidTr="00CA7B57">
        <w:trPr>
          <w:trHeight w:val="460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423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21,990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="00195923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CA7B5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Семейкинского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0BC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соблюдение принципа гласности в нормотворческой деятельности органов местного самоуправления Семейкинского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1079"/>
        <w:gridCol w:w="1047"/>
        <w:gridCol w:w="1134"/>
        <w:gridCol w:w="1134"/>
        <w:gridCol w:w="1277"/>
      </w:tblGrid>
      <w:tr w:rsidR="00D9359C" w:rsidRPr="00FC3250" w:rsidTr="00D9359C">
        <w:trPr>
          <w:trHeight w:val="327"/>
          <w:tblCellSpacing w:w="5" w:type="nil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9C" w:rsidRPr="00D745C5" w:rsidRDefault="00D9359C" w:rsidP="0019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9359C" w:rsidRPr="00FC3250" w:rsidTr="00D9359C">
        <w:trPr>
          <w:trHeight w:val="404"/>
          <w:tblCellSpacing w:w="5" w:type="nil"/>
        </w:trPr>
        <w:tc>
          <w:tcPr>
            <w:tcW w:w="1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rPr>
          <w:trHeight w:val="886"/>
          <w:tblCellSpacing w:w="5" w:type="nil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D9359C" w:rsidRDefault="00D9359C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D9359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Семейкинского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884"/>
        <w:gridCol w:w="1704"/>
        <w:gridCol w:w="994"/>
        <w:gridCol w:w="848"/>
        <w:gridCol w:w="708"/>
        <w:gridCol w:w="850"/>
        <w:gridCol w:w="992"/>
      </w:tblGrid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5" w:type="pct"/>
          </w:tcPr>
          <w:p w:rsidR="00D9359C" w:rsidRPr="00FC3250" w:rsidRDefault="00D9359C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9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«Иные мероприятия в области муниципального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»,всего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116DBE" w:rsidRDefault="00D9359C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rPr>
          <w:trHeight w:val="1134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Семейкинского сельского поселения, подписка 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1186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900" w:type="pc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  <w:bottom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62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24" w:type="pct"/>
          </w:tcPr>
          <w:p w:rsidR="00D9359C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9359C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5298"/>
      </w:tblGrid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D9359C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выполнения расходных обязательств Семейкинского сельского поселения;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361,372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73,534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359C" w:rsidRPr="00FC3250" w:rsidRDefault="00D9359C" w:rsidP="00D9359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145,000</w:t>
            </w:r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195923" w:rsidRDefault="00195923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заключается в установке единой централизованной информационной системы муниципальных образований, интегрирующей в себе информационное хранилище, а также эффективные инструменты работы с ним на базе передовых Интернет-технологий.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proofErr w:type="spellStart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автоматизированное ведение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налогообложением (не зарегистрированные в установленном порядке, не введенные в эксплуатацию при наличии признаков проживания и др.).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</w:t>
      </w:r>
      <w:proofErr w:type="spell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Официальный сайт Семейкинского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о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E415CF" w:rsidRPr="00FC3250" w:rsidRDefault="00E415CF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97"/>
        <w:gridCol w:w="827"/>
        <w:gridCol w:w="879"/>
        <w:gridCol w:w="851"/>
        <w:gridCol w:w="885"/>
        <w:gridCol w:w="825"/>
      </w:tblGrid>
      <w:tr w:rsidR="00E92A29" w:rsidRPr="00FC3250" w:rsidTr="00E92A29">
        <w:trPr>
          <w:trHeight w:val="3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29" w:rsidRPr="00E415CF" w:rsidRDefault="00E92A29" w:rsidP="00E4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92A29" w:rsidRPr="00FC3250" w:rsidTr="00E92A29">
        <w:trPr>
          <w:trHeight w:val="420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1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Семейкинского сельского поселения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размещение информации о деятельности органов Семейкинского сельского поселения на официальном сайте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17"/>
        <w:gridCol w:w="1671"/>
        <w:gridCol w:w="837"/>
        <w:gridCol w:w="950"/>
        <w:gridCol w:w="857"/>
        <w:gridCol w:w="1115"/>
        <w:gridCol w:w="1005"/>
      </w:tblGrid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</w:tcPr>
          <w:p w:rsidR="00E92A29" w:rsidRPr="00FC3250" w:rsidRDefault="00E92A29" w:rsidP="00E92A29">
            <w:pPr>
              <w:spacing w:after="0" w:line="240" w:lineRule="auto"/>
              <w:ind w:left="-94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83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E92A29" w:rsidRPr="00FC3250" w:rsidTr="00E92A29"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«Информационно – программное обеспечение и организация бюджетного процесса», 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387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168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c>
          <w:tcPr>
            <w:tcW w:w="270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формирования и исполнения бюджета 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Админисрация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Семейкинского сельского 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средств криптографической защиты информации (средства шифрования и электронные подписи)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5D20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rPr>
          <w:trHeight w:val="168"/>
        </w:trPr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  <w:p w:rsidR="003D0059" w:rsidRPr="00FC3250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25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882"/>
        </w:trPr>
        <w:tc>
          <w:tcPr>
            <w:tcW w:w="270" w:type="pct"/>
          </w:tcPr>
          <w:p w:rsidR="00E92A29" w:rsidRPr="00FC3250" w:rsidRDefault="00E92A29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справочно– информационных баз данных 1-С, подписка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Совет Семейкинского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о деятельности органов местного самоуправления Семейкинского сельского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Семейкинского сельского поселения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E12961" w:rsidRDefault="00E12961"/>
    <w:sectPr w:rsidR="00E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28C7"/>
    <w:multiLevelType w:val="hybridMultilevel"/>
    <w:tmpl w:val="20549BAE"/>
    <w:lvl w:ilvl="0" w:tplc="1FBA7726">
      <w:start w:val="2024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 w15:restartNumberingAfterBreak="0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 w15:restartNumberingAfterBreak="0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0"/>
    <w:rsid w:val="00027CD8"/>
    <w:rsid w:val="000B3BD4"/>
    <w:rsid w:val="000C3F0A"/>
    <w:rsid w:val="000D283F"/>
    <w:rsid w:val="00116DBE"/>
    <w:rsid w:val="001421FF"/>
    <w:rsid w:val="0016618A"/>
    <w:rsid w:val="00195923"/>
    <w:rsid w:val="0020094F"/>
    <w:rsid w:val="002556C6"/>
    <w:rsid w:val="002D4587"/>
    <w:rsid w:val="002F3B18"/>
    <w:rsid w:val="003D0059"/>
    <w:rsid w:val="003F04BC"/>
    <w:rsid w:val="0041597F"/>
    <w:rsid w:val="0043558E"/>
    <w:rsid w:val="00475A53"/>
    <w:rsid w:val="004B50BC"/>
    <w:rsid w:val="004B6844"/>
    <w:rsid w:val="00570FBB"/>
    <w:rsid w:val="005D20B0"/>
    <w:rsid w:val="006656CF"/>
    <w:rsid w:val="0069021E"/>
    <w:rsid w:val="006A3817"/>
    <w:rsid w:val="006F0E4B"/>
    <w:rsid w:val="00797706"/>
    <w:rsid w:val="00797901"/>
    <w:rsid w:val="007D7DCB"/>
    <w:rsid w:val="00830095"/>
    <w:rsid w:val="00836122"/>
    <w:rsid w:val="00840D86"/>
    <w:rsid w:val="00875A8C"/>
    <w:rsid w:val="009F288B"/>
    <w:rsid w:val="00B01ECE"/>
    <w:rsid w:val="00B10391"/>
    <w:rsid w:val="00B22834"/>
    <w:rsid w:val="00B426DA"/>
    <w:rsid w:val="00B74082"/>
    <w:rsid w:val="00C209DA"/>
    <w:rsid w:val="00CA0568"/>
    <w:rsid w:val="00CA7B57"/>
    <w:rsid w:val="00CD62B9"/>
    <w:rsid w:val="00D169C7"/>
    <w:rsid w:val="00D745C5"/>
    <w:rsid w:val="00D9359C"/>
    <w:rsid w:val="00DB13CC"/>
    <w:rsid w:val="00E107C1"/>
    <w:rsid w:val="00E12961"/>
    <w:rsid w:val="00E415CF"/>
    <w:rsid w:val="00E768A4"/>
    <w:rsid w:val="00E92A29"/>
    <w:rsid w:val="00EA2E88"/>
    <w:rsid w:val="00EA2F54"/>
    <w:rsid w:val="00EE620E"/>
    <w:rsid w:val="00F012B1"/>
    <w:rsid w:val="00F646C0"/>
    <w:rsid w:val="00FC3250"/>
    <w:rsid w:val="00FD3104"/>
    <w:rsid w:val="00FE0319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F8E0-FDBD-4705-84E2-D2B2B6B0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85BB-549C-4823-AF5A-C99F7BBB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6196</Words>
  <Characters>35319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2024-11-14T12:39:00Z</cp:lastPrinted>
  <dcterms:created xsi:type="dcterms:W3CDTF">2024-11-14T12:41:00Z</dcterms:created>
  <dcterms:modified xsi:type="dcterms:W3CDTF">2024-11-14T12:41:00Z</dcterms:modified>
</cp:coreProperties>
</file>