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F0A1" w14:textId="5885DA69" w:rsidR="00684F09" w:rsidRPr="00684F09" w:rsidRDefault="00684F09" w:rsidP="00684F09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b/>
          <w:bCs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b/>
          <w:bCs/>
          <w:color w:val="3C3C3C"/>
          <w:sz w:val="27"/>
          <w:szCs w:val="27"/>
          <w:lang w:eastAsia="ru-RU"/>
        </w:rPr>
        <w:t>О Единой государственной автоматизированной информационной системе (алкоголь)</w:t>
      </w:r>
    </w:p>
    <w:p w14:paraId="468B6450" w14:textId="655DB887" w:rsidR="00684F09" w:rsidRPr="00684F09" w:rsidRDefault="00684F09" w:rsidP="00684F0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 xml:space="preserve">В соответствии с </w:t>
      </w:r>
      <w:proofErr w:type="gramStart"/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письмом  Департамента</w:t>
      </w:r>
      <w:proofErr w:type="gramEnd"/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 xml:space="preserve"> экономического развития и торговли Ивановской области от 01.03.2016 г. №189-014/07-03 Администрация Шуйского муниципального района сообщает следующее.</w:t>
      </w:r>
    </w:p>
    <w:p w14:paraId="6C94225B" w14:textId="77777777" w:rsidR="00684F09" w:rsidRPr="00684F09" w:rsidRDefault="00684F09" w:rsidP="00684F0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Федеральным законом от 29.06.2015 № 182-ФЗ установлено, что с 1 января 2016 года оптовые и розничные организации, а также организации общественного питания, обязаны подключиться к ЕГАИС и представлять в систему сведения о закупке алкогольной продукции. При этом постановлением Правительства Российской Федерации от 29.12.2015 № 1459 для организаций общественного питания и розничной торговли до 20 апреля 2016 года продлен срок в части возможности отражения в ЕГАИС указанной информации.                                                                                     </w:t>
      </w:r>
    </w:p>
    <w:p w14:paraId="09F70056" w14:textId="77777777" w:rsidR="00684F09" w:rsidRPr="00684F09" w:rsidRDefault="00684F09" w:rsidP="00684F0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Что касается работы в ЕГАИС, организациям розничной торговли предстоит пройти еще один важный этап.</w:t>
      </w:r>
    </w:p>
    <w:p w14:paraId="63D49FB5" w14:textId="77777777" w:rsidR="00684F09" w:rsidRPr="00684F09" w:rsidRDefault="00684F09" w:rsidP="00684F0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Единственным способом противодействия продаже алкогольной продукции с поддельными марками является контроль легальности каждой бутылки в магазине на кассе при ее реализации конечному потребителю. Поэтому с 1 июля 2016 года организации розничной торговли обязаны представлять в ЕГАИС сведения о розничной продаже алкогольной продукции в городских поселениях. Для того чтобы с 1 июля 2016 года передавать в ЕГАИС эту информацию организациям дополнительно потребуется оборудовать уже имеющиеся ККМ сканером для считывания штрих-кода с федеральных специальных и акцизных марок, и доработать программное обеспечение кассы, чтобы оно совмещалось с ЕГАИС.</w:t>
      </w:r>
    </w:p>
    <w:p w14:paraId="6EFFD2FE" w14:textId="77777777" w:rsidR="00684F09" w:rsidRPr="00684F09" w:rsidRDefault="00684F09" w:rsidP="00684F0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Поэтому уже с февраля 2016 года Росалкогольрегулирование предоставило организациям розничной торговли возможность до 1 июля в тестовом режиме отработать порядок работы в новой системе:</w:t>
      </w:r>
    </w:p>
    <w:p w14:paraId="674E5E38" w14:textId="77777777" w:rsidR="00684F09" w:rsidRPr="00684F09" w:rsidRDefault="00684F09" w:rsidP="00684F0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 - на портале egais.ru выложены все необходимые видео-инструкции (скачиваются бесплатно) по установке и подключению программного обеспечения; также там выкладываются видеозаписи проводимых Росалкогольрегулированием по данному вопросу совещаний с участниками рынка как на уровне субъектов Российской Федерации, так и на федеральном уровне; техническая документация; описание процесса документооборота; нормативно правовые акты и их проекты.</w:t>
      </w:r>
    </w:p>
    <w:p w14:paraId="4481859A" w14:textId="77777777" w:rsidR="00684F09" w:rsidRPr="00684F09" w:rsidRDefault="00684F09" w:rsidP="00684F0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 Кроме того, в целях обеспечения бесперебойной работы ЕГАИС с 1 июля 2016 года:</w:t>
      </w:r>
    </w:p>
    <w:p w14:paraId="37EF3711" w14:textId="77777777" w:rsidR="00684F09" w:rsidRPr="00684F09" w:rsidRDefault="00684F09" w:rsidP="00684F0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lastRenderedPageBreak/>
        <w:t> - на официальном сайте Росалкогольрегулирования в разделе ЕГАИС по-прежнему работает форум, где в режиме онлайн специалисты службы отвечают на все вопросы, связанные с подключением к ЕГАИС организаций розничной торговли и общественного питания.</w:t>
      </w:r>
    </w:p>
    <w:p w14:paraId="6F206402" w14:textId="77777777" w:rsidR="00684F09" w:rsidRPr="00684F09" w:rsidRDefault="00684F09" w:rsidP="00684F0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 - дежурная служба поддержки ЕГАИС при Росалкогольрегулировании будет расширена и переведена на круглосуточный режим работы, поскольку с 1 июля 2016 года кратно увеличится количество документов, поступающих в ЕГАИС;</w:t>
      </w:r>
    </w:p>
    <w:p w14:paraId="48A9A2F4" w14:textId="77777777" w:rsidR="00684F09" w:rsidRPr="00684F09" w:rsidRDefault="00684F09" w:rsidP="00684F0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 - в рамках Экспертного Совета при Росалкогольрегулировании создана рабочая группа оперативного решения вопросов внедрения ЕГАИС в организациях розничной торговли и общественного питания, на которой на постоянной основе можно решать различные вопросы, связанные с работой ЕГАИС.</w:t>
      </w:r>
    </w:p>
    <w:p w14:paraId="2EDD38CB" w14:textId="77777777" w:rsidR="00684F09" w:rsidRPr="00684F09" w:rsidRDefault="00684F09" w:rsidP="00684F09">
      <w:pPr>
        <w:shd w:val="clear" w:color="auto" w:fill="FFFFFF"/>
        <w:spacing w:after="150" w:line="240" w:lineRule="auto"/>
        <w:jc w:val="right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Приложение 1</w:t>
      </w:r>
    </w:p>
    <w:p w14:paraId="77D88887" w14:textId="77777777" w:rsidR="00684F09" w:rsidRPr="00684F09" w:rsidRDefault="00684F09" w:rsidP="00684F09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b/>
          <w:bCs/>
          <w:color w:val="3C3C3C"/>
          <w:sz w:val="27"/>
          <w:szCs w:val="27"/>
          <w:lang w:eastAsia="ru-RU"/>
        </w:rPr>
        <w:t>Положение</w:t>
      </w:r>
    </w:p>
    <w:p w14:paraId="48FA9981" w14:textId="77777777" w:rsidR="00684F09" w:rsidRPr="00684F09" w:rsidRDefault="00684F09" w:rsidP="00684F09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b/>
          <w:bCs/>
          <w:color w:val="3C3C3C"/>
          <w:sz w:val="27"/>
          <w:szCs w:val="27"/>
          <w:lang w:eastAsia="ru-RU"/>
        </w:rPr>
        <w:t>об Ивановском региональном конкурсе</w:t>
      </w:r>
    </w:p>
    <w:p w14:paraId="50DFCA72" w14:textId="77777777" w:rsidR="00684F09" w:rsidRPr="00684F09" w:rsidRDefault="00684F09" w:rsidP="00684F09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b/>
          <w:bCs/>
          <w:color w:val="3C3C3C"/>
          <w:sz w:val="27"/>
          <w:szCs w:val="27"/>
          <w:lang w:eastAsia="ru-RU"/>
        </w:rPr>
        <w:t> малого и среднего бизнеса</w:t>
      </w:r>
    </w:p>
    <w:p w14:paraId="3466566D" w14:textId="77777777" w:rsidR="00684F09" w:rsidRPr="00684F09" w:rsidRDefault="00684F09" w:rsidP="00684F09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b/>
          <w:bCs/>
          <w:color w:val="3C3C3C"/>
          <w:sz w:val="27"/>
          <w:szCs w:val="27"/>
          <w:lang w:eastAsia="ru-RU"/>
        </w:rPr>
        <w:t>«Лучший сельский предприниматель 2016» </w:t>
      </w:r>
    </w:p>
    <w:p w14:paraId="550E535C" w14:textId="77777777" w:rsidR="00684F09" w:rsidRPr="00684F09" w:rsidRDefault="00684F09" w:rsidP="00684F09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b/>
          <w:bCs/>
          <w:color w:val="3C3C3C"/>
          <w:sz w:val="27"/>
          <w:szCs w:val="27"/>
          <w:lang w:eastAsia="ru-RU"/>
        </w:rPr>
        <w:t>1. Общие положения </w:t>
      </w:r>
    </w:p>
    <w:p w14:paraId="21A0E05E" w14:textId="77777777" w:rsidR="00684F09" w:rsidRPr="00684F09" w:rsidRDefault="00684F09" w:rsidP="00684F0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1.1. Положение о конкурсе малого и среднего бизнеса, бизнес - проектов и бизнес - идей (далее – Положение) определяет порядок и условия проведения конкурса бизнес-планов, динамики развития, инноваций субъектов малого и среднего предпринимательства (далее – Конкурс).</w:t>
      </w:r>
    </w:p>
    <w:p w14:paraId="33CC37DD" w14:textId="77777777" w:rsidR="00684F09" w:rsidRPr="00684F09" w:rsidRDefault="00684F09" w:rsidP="00684F0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 xml:space="preserve">1.2 Конкурс </w:t>
      </w:r>
      <w:proofErr w:type="gramStart"/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проводит  Координационный</w:t>
      </w:r>
      <w:proofErr w:type="gramEnd"/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 xml:space="preserve"> совет депутатских объединений (фракций) ВПП «</w:t>
      </w:r>
      <w:r w:rsidRPr="00684F09">
        <w:rPr>
          <w:rFonts w:ascii="Roboto" w:eastAsia="Times New Roman" w:hAnsi="Roboto" w:cs="Times New Roman"/>
          <w:b/>
          <w:bCs/>
          <w:color w:val="3C3C3C"/>
          <w:sz w:val="27"/>
          <w:szCs w:val="27"/>
          <w:lang w:eastAsia="ru-RU"/>
        </w:rPr>
        <w:t>ЕДИНАЯ РОССИЯ</w:t>
      </w: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» Ивановской области (далее – Координационный совет).</w:t>
      </w:r>
    </w:p>
    <w:p w14:paraId="3C87D83A" w14:textId="77777777" w:rsidR="00684F09" w:rsidRPr="00684F09" w:rsidRDefault="00684F09" w:rsidP="00684F0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 1.3 Конкурс направлен на развитие предпринимательской активности граждан как способа профессионального самовыражения и самореализации, поддержку предпринимательских инициатив в сельских образованиях области.</w:t>
      </w:r>
    </w:p>
    <w:p w14:paraId="427EF2BA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 </w:t>
      </w:r>
    </w:p>
    <w:p w14:paraId="1B329241" w14:textId="77777777" w:rsidR="00684F09" w:rsidRPr="00684F09" w:rsidRDefault="00684F09" w:rsidP="00684F09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b/>
          <w:bCs/>
          <w:color w:val="3C3C3C"/>
          <w:sz w:val="27"/>
          <w:szCs w:val="27"/>
          <w:lang w:eastAsia="ru-RU"/>
        </w:rPr>
        <w:t>2. Цель и задачи конкурса </w:t>
      </w:r>
    </w:p>
    <w:p w14:paraId="7E21826E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b/>
          <w:bCs/>
          <w:color w:val="3C3C3C"/>
          <w:sz w:val="27"/>
          <w:szCs w:val="27"/>
          <w:lang w:eastAsia="ru-RU"/>
        </w:rPr>
        <w:t>Основная цель Конкурса – </w:t>
      </w: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 xml:space="preserve">создание условий для развития </w:t>
      </w:r>
      <w:proofErr w:type="spellStart"/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всельских</w:t>
      </w:r>
      <w:proofErr w:type="spellEnd"/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 xml:space="preserve"> территориях Ивановской области малого и среднего бизнеса через активизацию работы субъектов малого бизнеса и популяризацию вклада субъектов предпринимательства в развитие сельских территорий.</w:t>
      </w:r>
    </w:p>
    <w:p w14:paraId="6695A65A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b/>
          <w:bCs/>
          <w:color w:val="3C3C3C"/>
          <w:sz w:val="27"/>
          <w:szCs w:val="27"/>
          <w:lang w:eastAsia="ru-RU"/>
        </w:rPr>
        <w:t>Основные задачи Конкурса:</w:t>
      </w:r>
    </w:p>
    <w:p w14:paraId="161BB638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lastRenderedPageBreak/>
        <w:t>Активное содействие в реализации программ развития предпринимательской инициативы среди субъектов малого и среднего предпринимательства в сельских территориях.</w:t>
      </w:r>
    </w:p>
    <w:p w14:paraId="402A4EEC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Выявление активных граждан, склонных к предпринимательской деятельности.</w:t>
      </w:r>
    </w:p>
    <w:p w14:paraId="32227FA3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Поддержка инновационной, предпринимательской, творческой деятельности.</w:t>
      </w:r>
    </w:p>
    <w:p w14:paraId="70876A20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Пропаганда достижений, роли и значимости субъектов предпринимательской деятельности в социально-экономическом развитии территорий региона.</w:t>
      </w:r>
    </w:p>
    <w:p w14:paraId="15FF4CA2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Признание вклада субъектов малого и среднего бизнеса в социально-экономическое развитие Ивановской области.</w:t>
      </w:r>
    </w:p>
    <w:p w14:paraId="7E2B91D4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Выявление положительных тенденций в развитии малого бизнеса.</w:t>
      </w:r>
    </w:p>
    <w:p w14:paraId="68866DF2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Содействие повышению роли предпринимательства на рынке труда.</w:t>
      </w:r>
      <w:r w:rsidRPr="00684F09">
        <w:rPr>
          <w:rFonts w:ascii="Roboto" w:eastAsia="Times New Roman" w:hAnsi="Roboto" w:cs="Times New Roman"/>
          <w:b/>
          <w:bCs/>
          <w:color w:val="3C3C3C"/>
          <w:sz w:val="27"/>
          <w:szCs w:val="27"/>
          <w:lang w:eastAsia="ru-RU"/>
        </w:rPr>
        <w:t> </w:t>
      </w:r>
    </w:p>
    <w:p w14:paraId="0834C78A" w14:textId="77777777" w:rsidR="00684F09" w:rsidRPr="00684F09" w:rsidRDefault="00684F09" w:rsidP="00684F09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b/>
          <w:bCs/>
          <w:color w:val="3C3C3C"/>
          <w:sz w:val="27"/>
          <w:szCs w:val="27"/>
          <w:lang w:eastAsia="ru-RU"/>
        </w:rPr>
        <w:t>3. Участники конкурса.</w:t>
      </w:r>
    </w:p>
    <w:p w14:paraId="6BD7BED0" w14:textId="77777777" w:rsidR="00684F09" w:rsidRPr="00684F09" w:rsidRDefault="00684F09" w:rsidP="00684F0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 xml:space="preserve">3.1 Участниками конкурса являются субъекты малого и среднего предпринимательства, осуществляющие свою предпринимательскую деятельность на территории сельских поселений Ивановской области, а также городских поселений, входящих в состав муниципальных районов.  </w:t>
      </w:r>
      <w:proofErr w:type="gramStart"/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Руководителями  или</w:t>
      </w:r>
      <w:proofErr w:type="gramEnd"/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 xml:space="preserve"> учредителями должны быть жители региона, а также субъекты малого и среднего бизнеса, планирующие начать свою работу на территории  Ивановской области.</w:t>
      </w:r>
    </w:p>
    <w:p w14:paraId="4EC02EEB" w14:textId="77777777" w:rsidR="00684F09" w:rsidRPr="00684F09" w:rsidRDefault="00684F09" w:rsidP="00684F09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 </w:t>
      </w:r>
    </w:p>
    <w:p w14:paraId="3DD4C2DD" w14:textId="77777777" w:rsidR="00684F09" w:rsidRPr="00684F09" w:rsidRDefault="00684F09" w:rsidP="00684F09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b/>
          <w:bCs/>
          <w:color w:val="3C3C3C"/>
          <w:sz w:val="27"/>
          <w:szCs w:val="27"/>
          <w:lang w:eastAsia="ru-RU"/>
        </w:rPr>
        <w:t>4. Номинации Конкурса </w:t>
      </w:r>
    </w:p>
    <w:p w14:paraId="26447BCB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b/>
          <w:bCs/>
          <w:color w:val="3C3C3C"/>
          <w:sz w:val="27"/>
          <w:szCs w:val="27"/>
          <w:lang w:eastAsia="ru-RU"/>
        </w:rPr>
        <w:t xml:space="preserve">Региональный Конкурс проводится </w:t>
      </w:r>
      <w:proofErr w:type="gramStart"/>
      <w:r w:rsidRPr="00684F09">
        <w:rPr>
          <w:rFonts w:ascii="Roboto" w:eastAsia="Times New Roman" w:hAnsi="Roboto" w:cs="Times New Roman"/>
          <w:b/>
          <w:bCs/>
          <w:color w:val="3C3C3C"/>
          <w:sz w:val="27"/>
          <w:szCs w:val="27"/>
          <w:lang w:eastAsia="ru-RU"/>
        </w:rPr>
        <w:t>по  следующим</w:t>
      </w:r>
      <w:proofErr w:type="gramEnd"/>
      <w:r w:rsidRPr="00684F09">
        <w:rPr>
          <w:rFonts w:ascii="Roboto" w:eastAsia="Times New Roman" w:hAnsi="Roboto" w:cs="Times New Roman"/>
          <w:b/>
          <w:bCs/>
          <w:color w:val="3C3C3C"/>
          <w:sz w:val="27"/>
          <w:szCs w:val="27"/>
          <w:lang w:eastAsia="ru-RU"/>
        </w:rPr>
        <w:t xml:space="preserve"> номинациям: </w:t>
      </w:r>
    </w:p>
    <w:p w14:paraId="2C4DD69E" w14:textId="77777777" w:rsidR="00684F09" w:rsidRPr="00684F09" w:rsidRDefault="00684F09" w:rsidP="00684F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Лучший предприниматель в сфере производства;</w:t>
      </w:r>
    </w:p>
    <w:p w14:paraId="412F23E5" w14:textId="77777777" w:rsidR="00684F09" w:rsidRPr="00684F09" w:rsidRDefault="00684F09" w:rsidP="00684F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Лучший предприниматель в сфере услуг, торговли и бытового обслуживания;</w:t>
      </w:r>
    </w:p>
    <w:p w14:paraId="4880E062" w14:textId="77777777" w:rsidR="00684F09" w:rsidRPr="00684F09" w:rsidRDefault="00684F09" w:rsidP="00684F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Лучший начинающий предприниматель;</w:t>
      </w:r>
    </w:p>
    <w:p w14:paraId="132CE16D" w14:textId="77777777" w:rsidR="00684F09" w:rsidRPr="00684F09" w:rsidRDefault="00684F09" w:rsidP="00684F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Лучшая муниципальная практика поддержки предпринимательства и улучшения инвестиционного климата.</w:t>
      </w:r>
      <w:r w:rsidRPr="00684F09">
        <w:rPr>
          <w:rFonts w:ascii="Roboto" w:eastAsia="Times New Roman" w:hAnsi="Roboto" w:cs="Times New Roman"/>
          <w:b/>
          <w:bCs/>
          <w:color w:val="3C3C3C"/>
          <w:sz w:val="27"/>
          <w:szCs w:val="27"/>
          <w:lang w:eastAsia="ru-RU"/>
        </w:rPr>
        <w:t> </w:t>
      </w:r>
    </w:p>
    <w:p w14:paraId="3BD0D390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b/>
          <w:bCs/>
          <w:color w:val="3C3C3C"/>
          <w:sz w:val="27"/>
          <w:szCs w:val="27"/>
          <w:lang w:eastAsia="ru-RU"/>
        </w:rPr>
        <w:t>В ходе конкурса по итогам работы Экспертной комиссии оргкомитет вправе учреждать дополнительные номинации.</w:t>
      </w:r>
    </w:p>
    <w:p w14:paraId="5551014B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b/>
          <w:bCs/>
          <w:color w:val="3C3C3C"/>
          <w:sz w:val="27"/>
          <w:szCs w:val="27"/>
          <w:lang w:eastAsia="ru-RU"/>
        </w:rPr>
        <w:t> </w:t>
      </w:r>
    </w:p>
    <w:p w14:paraId="1FAB8D1D" w14:textId="77777777" w:rsidR="00684F09" w:rsidRPr="00684F09" w:rsidRDefault="00684F09" w:rsidP="00684F09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b/>
          <w:bCs/>
          <w:color w:val="3C3C3C"/>
          <w:sz w:val="27"/>
          <w:szCs w:val="27"/>
          <w:lang w:eastAsia="ru-RU"/>
        </w:rPr>
        <w:t>5.  Порядок и сроки проведения конкурса </w:t>
      </w:r>
    </w:p>
    <w:p w14:paraId="13515679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5.1 Конкурс проводится с 18февраля 2016г. по сентябрь 2016г. </w:t>
      </w:r>
    </w:p>
    <w:p w14:paraId="326F17A1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lastRenderedPageBreak/>
        <w:t xml:space="preserve">I этап – оформление и сбор </w:t>
      </w:r>
      <w:proofErr w:type="gramStart"/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заявок,  период</w:t>
      </w:r>
      <w:proofErr w:type="gramEnd"/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 xml:space="preserve"> 18.02.2016г. – 30.05.2016г. </w:t>
      </w:r>
    </w:p>
    <w:p w14:paraId="6AEA53C0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 xml:space="preserve">II этап - работа Экспертной комиссии по определению победителей и лауреатов конкурса, </w:t>
      </w:r>
      <w:proofErr w:type="gramStart"/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период  01.06.2015г.</w:t>
      </w:r>
      <w:proofErr w:type="gramEnd"/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 xml:space="preserve"> -  01.07.2015г </w:t>
      </w:r>
    </w:p>
    <w:p w14:paraId="3A9BEBE7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 xml:space="preserve">III этап -презентация проектов, представленных на конкурс. Церемония торжественного подведения итогов Конкурса. Награждение </w:t>
      </w:r>
      <w:proofErr w:type="spellStart"/>
      <w:proofErr w:type="gramStart"/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победителей.период</w:t>
      </w:r>
      <w:proofErr w:type="spellEnd"/>
      <w:proofErr w:type="gramEnd"/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 xml:space="preserve"> август - сентябрь 2016 г. </w:t>
      </w:r>
    </w:p>
    <w:p w14:paraId="0AB5E034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5.2 Заявки на участие в конкурсе принимает оргкомитет. </w:t>
      </w:r>
    </w:p>
    <w:p w14:paraId="7E66D1DA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5.3. Заявки на участие в конкурсе могут быть присланы </w:t>
      </w:r>
      <w:r w:rsidRPr="00684F09">
        <w:rPr>
          <w:rFonts w:ascii="Roboto" w:eastAsia="Times New Roman" w:hAnsi="Roboto" w:cs="Times New Roman"/>
          <w:b/>
          <w:bCs/>
          <w:color w:val="3C3C3C"/>
          <w:sz w:val="27"/>
          <w:szCs w:val="27"/>
          <w:lang w:eastAsia="ru-RU"/>
        </w:rPr>
        <w:t>до 18.00 30.05.2015г.</w:t>
      </w: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 на электронную почту Конкурса: </w:t>
      </w:r>
      <w:hyperlink r:id="rId5" w:history="1">
        <w:r w:rsidRPr="00684F09">
          <w:rPr>
            <w:rFonts w:ascii="Roboto" w:eastAsia="Times New Roman" w:hAnsi="Roboto" w:cs="Times New Roman"/>
            <w:color w:val="428BCA"/>
            <w:sz w:val="27"/>
            <w:szCs w:val="27"/>
            <w:u w:val="single"/>
            <w:lang w:eastAsia="ru-RU"/>
          </w:rPr>
          <w:t>er_duma@ivanovo.zsio.ru</w:t>
        </w:r>
      </w:hyperlink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 xml:space="preserve"> или предоставлены в печатном виде по адресу: </w:t>
      </w:r>
      <w:proofErr w:type="spellStart"/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г.Иваново</w:t>
      </w:r>
      <w:proofErr w:type="spellEnd"/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 xml:space="preserve">, </w:t>
      </w:r>
      <w:proofErr w:type="spellStart"/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ул.Батурина</w:t>
      </w:r>
      <w:proofErr w:type="spellEnd"/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 xml:space="preserve">, 5 </w:t>
      </w:r>
      <w:proofErr w:type="spellStart"/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каб</w:t>
      </w:r>
      <w:proofErr w:type="spellEnd"/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. 3.</w:t>
      </w:r>
    </w:p>
    <w:p w14:paraId="498D836B" w14:textId="77777777" w:rsidR="00684F09" w:rsidRPr="00684F09" w:rsidRDefault="00684F09" w:rsidP="00684F09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b/>
          <w:bCs/>
          <w:color w:val="3C3C3C"/>
          <w:sz w:val="27"/>
          <w:szCs w:val="27"/>
          <w:lang w:eastAsia="ru-RU"/>
        </w:rPr>
        <w:t> </w:t>
      </w:r>
    </w:p>
    <w:p w14:paraId="54F77703" w14:textId="77777777" w:rsidR="00684F09" w:rsidRPr="00684F09" w:rsidRDefault="00684F09" w:rsidP="00684F09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b/>
          <w:bCs/>
          <w:color w:val="3C3C3C"/>
          <w:sz w:val="27"/>
          <w:szCs w:val="27"/>
          <w:lang w:eastAsia="ru-RU"/>
        </w:rPr>
        <w:t>6. Определение победителей и лауреатов Конкурса </w:t>
      </w:r>
    </w:p>
    <w:p w14:paraId="349D9172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6.1. Победители и Лауреаты Конкурса определяются в 4 номинациях Экспертной Комиссией Конкурса.</w:t>
      </w:r>
    </w:p>
    <w:p w14:paraId="1BE196B6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 xml:space="preserve">6.2. Экспертная </w:t>
      </w:r>
      <w:proofErr w:type="spellStart"/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комиссияопределяет</w:t>
      </w:r>
      <w:proofErr w:type="spellEnd"/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 xml:space="preserve"> в каждой номинации потри </w:t>
      </w:r>
      <w:proofErr w:type="spellStart"/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лучшихсубъекта</w:t>
      </w:r>
      <w:proofErr w:type="spellEnd"/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 xml:space="preserve"> малого и среднего предпринимательства. Победителями признаются проекты, набравшие максимальную сумму баллов.</w:t>
      </w:r>
    </w:p>
    <w:p w14:paraId="385F84DB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 </w:t>
      </w:r>
    </w:p>
    <w:p w14:paraId="43789D00" w14:textId="77777777" w:rsidR="00684F09" w:rsidRPr="00684F09" w:rsidRDefault="00684F09" w:rsidP="00684F09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b/>
          <w:bCs/>
          <w:color w:val="3C3C3C"/>
          <w:sz w:val="27"/>
          <w:szCs w:val="27"/>
          <w:lang w:eastAsia="ru-RU"/>
        </w:rPr>
        <w:t>7. Руководство конкурсом </w:t>
      </w:r>
    </w:p>
    <w:p w14:paraId="052BE1DE" w14:textId="77777777" w:rsidR="00684F09" w:rsidRPr="00684F09" w:rsidRDefault="00684F09" w:rsidP="00684F0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7.1.  Для руководства конкурсом создается оргкомитет. Состав оргкомитета определяется руководством Координационного совета.</w:t>
      </w:r>
    </w:p>
    <w:p w14:paraId="7F84C574" w14:textId="77777777" w:rsidR="00684F09" w:rsidRPr="00684F09" w:rsidRDefault="00684F09" w:rsidP="00684F0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7.2 Функции оргкомитета:</w:t>
      </w:r>
    </w:p>
    <w:p w14:paraId="2398021B" w14:textId="77777777" w:rsidR="00684F09" w:rsidRPr="00684F09" w:rsidRDefault="00684F09" w:rsidP="00684F0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• осуществляет прием и регистрацию бизнес — заявок;</w:t>
      </w:r>
    </w:p>
    <w:p w14:paraId="19958F2B" w14:textId="77777777" w:rsidR="00684F09" w:rsidRPr="00684F09" w:rsidRDefault="00684F09" w:rsidP="00684F0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• составляет график работы экспертной комиссии, передает в экспертную комиссию конкурсные материалы, получает от экспертной комиссии протоколы экспертизы;</w:t>
      </w:r>
    </w:p>
    <w:p w14:paraId="19A2116E" w14:textId="77777777" w:rsidR="00684F09" w:rsidRPr="00684F09" w:rsidRDefault="00684F09" w:rsidP="00684F0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 xml:space="preserve"> • организует торжественное подведение </w:t>
      </w:r>
      <w:proofErr w:type="gramStart"/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итогов  конкурса</w:t>
      </w:r>
      <w:proofErr w:type="gramEnd"/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.</w:t>
      </w:r>
    </w:p>
    <w:p w14:paraId="79837443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 </w:t>
      </w:r>
    </w:p>
    <w:p w14:paraId="43101D3C" w14:textId="77777777" w:rsidR="00684F09" w:rsidRPr="00684F09" w:rsidRDefault="00684F09" w:rsidP="00684F09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b/>
          <w:bCs/>
          <w:color w:val="3C3C3C"/>
          <w:sz w:val="27"/>
          <w:szCs w:val="27"/>
          <w:lang w:eastAsia="ru-RU"/>
        </w:rPr>
        <w:t>8. Экспертная комиссия </w:t>
      </w:r>
    </w:p>
    <w:p w14:paraId="5C3E5A0A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8.1 Для проведения экспертизы представленных на конкурсе бизнес — проектов создается экспертная комиссия. Состав экспертной комиссии утверждается решением заседания фракции «</w:t>
      </w:r>
      <w:r w:rsidRPr="00684F09">
        <w:rPr>
          <w:rFonts w:ascii="Roboto" w:eastAsia="Times New Roman" w:hAnsi="Roboto" w:cs="Times New Roman"/>
          <w:b/>
          <w:bCs/>
          <w:color w:val="3C3C3C"/>
          <w:sz w:val="27"/>
          <w:szCs w:val="27"/>
          <w:lang w:eastAsia="ru-RU"/>
        </w:rPr>
        <w:t>ЕДИНАЯ РОССИЯ</w:t>
      </w: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» в Ивановской областной Думе.</w:t>
      </w:r>
    </w:p>
    <w:p w14:paraId="5F112A44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8.2 Экспертная комиссия:</w:t>
      </w:r>
    </w:p>
    <w:p w14:paraId="308F5D7A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lastRenderedPageBreak/>
        <w:t>• определяет количество баллов по каждому критерию;</w:t>
      </w:r>
    </w:p>
    <w:p w14:paraId="0701E4F2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 xml:space="preserve">• проводит оценку бизнес — проектов, представленных </w:t>
      </w:r>
      <w:proofErr w:type="gramStart"/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на конкурс</w:t>
      </w:r>
      <w:proofErr w:type="gramEnd"/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 xml:space="preserve"> и определяет победителей;</w:t>
      </w:r>
    </w:p>
    <w:p w14:paraId="6EB8C04C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• имеет право своим решением устанавливать дополнительные номинации за яркие решения по отдельным критериям.</w:t>
      </w:r>
    </w:p>
    <w:p w14:paraId="40B62024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8.3 Решение экспертной комиссии считается принятым, если за него проголосовало более половины списочного состава. Решение оформляется протоколом, который подписывается председателем, а в его отсутствие – заместителем председателя.</w:t>
      </w:r>
    </w:p>
    <w:p w14:paraId="25FBDAB9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b/>
          <w:bCs/>
          <w:color w:val="3C3C3C"/>
          <w:sz w:val="27"/>
          <w:szCs w:val="27"/>
          <w:lang w:eastAsia="ru-RU"/>
        </w:rPr>
        <w:t> </w:t>
      </w:r>
    </w:p>
    <w:p w14:paraId="4A02B649" w14:textId="77777777" w:rsidR="00684F09" w:rsidRPr="00684F09" w:rsidRDefault="00684F09" w:rsidP="00684F09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b/>
          <w:bCs/>
          <w:color w:val="3C3C3C"/>
          <w:sz w:val="27"/>
          <w:szCs w:val="27"/>
          <w:lang w:eastAsia="ru-RU"/>
        </w:rPr>
        <w:t>9. Требования к оформлению</w:t>
      </w: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 </w:t>
      </w:r>
    </w:p>
    <w:p w14:paraId="6517E882" w14:textId="77777777" w:rsidR="00684F09" w:rsidRPr="00684F09" w:rsidRDefault="00684F09" w:rsidP="00684F0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9.</w:t>
      </w:r>
      <w:proofErr w:type="gramStart"/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1.Материалы</w:t>
      </w:r>
      <w:proofErr w:type="gramEnd"/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 xml:space="preserve"> подаются в экспертную комиссию на бумажном и электронном носителе в одном экземпляре.</w:t>
      </w:r>
    </w:p>
    <w:p w14:paraId="613FA2D5" w14:textId="77777777" w:rsidR="00684F09" w:rsidRPr="00684F09" w:rsidRDefault="00684F09" w:rsidP="00684F0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9.2. Для лучшего восприятия представленных сведений материалы могут быть представлены в форме презентации в программе PowerPoint (целесообразно применять графики, диаграммы, схемы, таблицы, чертежи или рисунки, а также фото- и видеоматериалы).</w:t>
      </w:r>
    </w:p>
    <w:p w14:paraId="6156BCE3" w14:textId="77777777" w:rsidR="00684F09" w:rsidRPr="00684F09" w:rsidRDefault="00684F09" w:rsidP="00684F0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9.3. Материалы, представленные на конкурс, не рецензируются и не возвращаются.</w:t>
      </w:r>
    </w:p>
    <w:p w14:paraId="579945CD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 </w:t>
      </w:r>
    </w:p>
    <w:p w14:paraId="2E17B48C" w14:textId="77777777" w:rsidR="00684F09" w:rsidRPr="00684F09" w:rsidRDefault="00684F09" w:rsidP="00684F09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b/>
          <w:bCs/>
          <w:color w:val="3C3C3C"/>
          <w:sz w:val="27"/>
          <w:szCs w:val="27"/>
          <w:lang w:eastAsia="ru-RU"/>
        </w:rPr>
        <w:t>10. Критерии оценки </w:t>
      </w:r>
    </w:p>
    <w:p w14:paraId="5E7627FD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10.1. Участники конкурса предоставляют материалы, раскрывающие:</w:t>
      </w:r>
    </w:p>
    <w:p w14:paraId="75E8F989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b/>
          <w:bCs/>
          <w:color w:val="3C3C3C"/>
          <w:sz w:val="27"/>
          <w:szCs w:val="27"/>
          <w:lang w:eastAsia="ru-RU"/>
        </w:rPr>
        <w:t>а) результаты основной деятельности:</w:t>
      </w:r>
    </w:p>
    <w:p w14:paraId="05B9FACE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- конкурентоспособность продукции, услуг;</w:t>
      </w:r>
    </w:p>
    <w:p w14:paraId="4AD75207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- экономическую стабильность;</w:t>
      </w:r>
    </w:p>
    <w:p w14:paraId="4172C24A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- сохранение и увеличение кадрового потенциала;</w:t>
      </w:r>
    </w:p>
    <w:p w14:paraId="6A94725D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- освоение новых технологий;</w:t>
      </w:r>
    </w:p>
    <w:p w14:paraId="5BF43FB0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- выход на новые товарные рынки;</w:t>
      </w:r>
    </w:p>
    <w:p w14:paraId="443C1DFA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- устойчивое положение на внутреннем рынке;</w:t>
      </w:r>
    </w:p>
    <w:p w14:paraId="5156CDE5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- социально-экономическое значение;</w:t>
      </w:r>
    </w:p>
    <w:p w14:paraId="0A25AE60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- освоение новой импортозамещающей продукции и технологии.</w:t>
      </w:r>
    </w:p>
    <w:p w14:paraId="629F46BB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b/>
          <w:bCs/>
          <w:color w:val="3C3C3C"/>
          <w:sz w:val="27"/>
          <w:szCs w:val="27"/>
          <w:lang w:eastAsia="ru-RU"/>
        </w:rPr>
        <w:t>б) социальную сферу предпринимательской деятельности:</w:t>
      </w:r>
    </w:p>
    <w:p w14:paraId="13695412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- поддержка детских программ, культуры, здравоохранения, образования;</w:t>
      </w:r>
    </w:p>
    <w:p w14:paraId="4ACAEBBD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lastRenderedPageBreak/>
        <w:t>- участие в мероприятиях города, оказание спонсорской помощи при их проведении;</w:t>
      </w:r>
    </w:p>
    <w:p w14:paraId="65C28A26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- решение социальных проблем трудового коллектива.</w:t>
      </w:r>
    </w:p>
    <w:p w14:paraId="733AC17F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b/>
          <w:bCs/>
          <w:color w:val="3C3C3C"/>
          <w:sz w:val="27"/>
          <w:szCs w:val="27"/>
          <w:lang w:eastAsia="ru-RU"/>
        </w:rPr>
        <w:t>в) бизнес-проекты и бизнес-идеи:</w:t>
      </w:r>
    </w:p>
    <w:p w14:paraId="301E2258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• социально-экономическое значение;</w:t>
      </w:r>
    </w:p>
    <w:p w14:paraId="0F185187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• новизна и оригинальность идеи;</w:t>
      </w:r>
    </w:p>
    <w:p w14:paraId="32FC6D6D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• обоснованность реализации идеи;</w:t>
      </w:r>
    </w:p>
    <w:p w14:paraId="18FED015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• гарантии финансовой устойчивости;</w:t>
      </w:r>
    </w:p>
    <w:p w14:paraId="0281752C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• готовность к практическому внедрению;</w:t>
      </w:r>
    </w:p>
    <w:p w14:paraId="3B78CDA9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• перспективность развития.</w:t>
      </w:r>
    </w:p>
    <w:p w14:paraId="24769A79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b/>
          <w:bCs/>
          <w:color w:val="3C3C3C"/>
          <w:sz w:val="27"/>
          <w:szCs w:val="27"/>
          <w:lang w:eastAsia="ru-RU"/>
        </w:rPr>
        <w:t>д) ориентировочную стоимость проекта;</w:t>
      </w:r>
    </w:p>
    <w:p w14:paraId="7510E8C6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b/>
          <w:bCs/>
          <w:color w:val="3C3C3C"/>
          <w:sz w:val="27"/>
          <w:szCs w:val="27"/>
          <w:lang w:eastAsia="ru-RU"/>
        </w:rPr>
        <w:t>е) сроки реализации проекта.</w:t>
      </w:r>
    </w:p>
    <w:p w14:paraId="24BEE573" w14:textId="77777777" w:rsidR="00684F09" w:rsidRPr="00684F09" w:rsidRDefault="00684F09" w:rsidP="00684F09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 </w:t>
      </w:r>
    </w:p>
    <w:p w14:paraId="4A752772" w14:textId="77777777" w:rsidR="00684F09" w:rsidRPr="00684F09" w:rsidRDefault="00684F09" w:rsidP="00684F09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b/>
          <w:bCs/>
          <w:color w:val="3C3C3C"/>
          <w:sz w:val="27"/>
          <w:szCs w:val="27"/>
          <w:lang w:eastAsia="ru-RU"/>
        </w:rPr>
        <w:t>11. Подведение итогов конкурса </w:t>
      </w:r>
    </w:p>
    <w:p w14:paraId="0B7722E0" w14:textId="77777777" w:rsidR="00684F09" w:rsidRPr="00684F09" w:rsidRDefault="00684F09" w:rsidP="00684F0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11.</w:t>
      </w:r>
      <w:proofErr w:type="gramStart"/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1.Церемония</w:t>
      </w:r>
      <w:proofErr w:type="gramEnd"/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 xml:space="preserve"> торжественного подведения итогов Конкурса будет проведена в августе 2016 года.</w:t>
      </w:r>
    </w:p>
    <w:p w14:paraId="74819269" w14:textId="77777777" w:rsidR="00684F09" w:rsidRPr="00684F09" w:rsidRDefault="00684F09" w:rsidP="00684F0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11.2. Победители и Лауреаты конкурса награждаются дипломами, фирменными знаками «Лучший сельский предприниматель - 2016» и денежными премиями, размер которых определяет конкурсная комиссия.</w:t>
      </w:r>
    </w:p>
    <w:p w14:paraId="29DAB856" w14:textId="77777777" w:rsidR="00684F09" w:rsidRPr="00684F09" w:rsidRDefault="00684F09" w:rsidP="00684F0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11.3. Победителям и Лауреатам конкурса будет предоставлена возможность опубликовать интервью в газете «Ивановская земля». </w:t>
      </w:r>
    </w:p>
    <w:p w14:paraId="46DE8E30" w14:textId="77777777" w:rsidR="00684F09" w:rsidRPr="00684F09" w:rsidRDefault="00684F09" w:rsidP="00684F09">
      <w:pPr>
        <w:shd w:val="clear" w:color="auto" w:fill="FFFFFF"/>
        <w:spacing w:line="240" w:lineRule="auto"/>
        <w:jc w:val="both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684F09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11.4. Победители и Лауреаты Конкурса имеют право размещать на рекламных носителях логотип Конкурса «Победитель Конкурса «Лучший сельский предприниматель- 2016», «Лауреат Конкурса «Лучший сельский предприниматель - 2016».</w:t>
      </w:r>
    </w:p>
    <w:p w14:paraId="66414DAE" w14:textId="77777777" w:rsidR="002446EE" w:rsidRPr="00684F09" w:rsidRDefault="002446EE" w:rsidP="00684F09"/>
    <w:sectPr w:rsidR="002446EE" w:rsidRPr="00684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11C40"/>
    <w:multiLevelType w:val="multilevel"/>
    <w:tmpl w:val="EAEA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09"/>
    <w:rsid w:val="002446EE"/>
    <w:rsid w:val="0068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EF539"/>
  <w15:chartTrackingRefBased/>
  <w15:docId w15:val="{8A1E1778-C9E9-44B5-9F36-1AF35490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4F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F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4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4F09"/>
    <w:rPr>
      <w:b/>
      <w:bCs/>
    </w:rPr>
  </w:style>
  <w:style w:type="paragraph" w:customStyle="1" w:styleId="stylet3">
    <w:name w:val="stylet3"/>
    <w:basedOn w:val="a"/>
    <w:rsid w:val="00684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84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26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_duma@ivanovo.zsi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1509</Words>
  <Characters>8607</Characters>
  <Application>Microsoft Office Word</Application>
  <DocSecurity>0</DocSecurity>
  <Lines>71</Lines>
  <Paragraphs>20</Paragraphs>
  <ScaleCrop>false</ScaleCrop>
  <Company/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adminka</cp:lastModifiedBy>
  <cp:revision>1</cp:revision>
  <dcterms:created xsi:type="dcterms:W3CDTF">2023-06-09T10:03:00Z</dcterms:created>
  <dcterms:modified xsi:type="dcterms:W3CDTF">2023-06-09T10:03:00Z</dcterms:modified>
</cp:coreProperties>
</file>